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4E58" w14:textId="5F51E769" w:rsidR="00010766" w:rsidRDefault="00C9364C" w:rsidP="00DF5486">
      <w:pPr>
        <w:pBdr>
          <w:bottom w:val="single" w:sz="6" w:space="1" w:color="auto"/>
        </w:pBdr>
        <w:spacing w:line="269" w:lineRule="auto"/>
        <w:jc w:val="center"/>
        <w:rPr>
          <w:rFonts w:ascii="Times New Roman" w:hAnsi="Times New Roman" w:cs="Times New Roman"/>
          <w:color w:val="4D5156"/>
          <w:sz w:val="22"/>
          <w:szCs w:val="22"/>
          <w:highlight w:val="yellow"/>
          <w:shd w:val="clear" w:color="auto" w:fill="FFFFFF"/>
        </w:rPr>
      </w:pPr>
      <w:r w:rsidRPr="00C9364C">
        <w:rPr>
          <w:rFonts w:ascii="Times New Roman" w:hAnsi="Times New Roman" w:cs="Times New Roman"/>
          <w:color w:val="4D5156"/>
          <w:sz w:val="22"/>
          <w:szCs w:val="22"/>
          <w:highlight w:val="yellow"/>
          <w:shd w:val="clear" w:color="auto" w:fill="FFFFFF"/>
        </w:rPr>
        <w:t>[</w:t>
      </w:r>
      <w:r w:rsidR="000318C6">
        <w:rPr>
          <w:rFonts w:ascii="Times New Roman" w:hAnsi="Times New Roman" w:cs="Times New Roman"/>
          <w:color w:val="4D5156"/>
          <w:sz w:val="22"/>
          <w:szCs w:val="22"/>
          <w:highlight w:val="yellow"/>
          <w:shd w:val="clear" w:color="auto" w:fill="FFFFFF"/>
        </w:rPr>
        <w:t xml:space="preserve">  </w:t>
      </w:r>
      <w:r w:rsidR="0054155E" w:rsidRPr="00C9259C">
        <w:rPr>
          <w:rFonts w:ascii="Times New Roman" w:hAnsi="Times New Roman" w:cs="Times New Roman"/>
          <w:color w:val="4D5156"/>
          <w:sz w:val="22"/>
          <w:szCs w:val="22"/>
          <w:highlight w:val="yellow"/>
          <w:shd w:val="clear" w:color="auto" w:fill="FFFFFF"/>
        </w:rPr>
        <w:t>*</w:t>
      </w:r>
      <w:r w:rsidR="000318C6">
        <w:rPr>
          <w:rFonts w:ascii="Times New Roman" w:hAnsi="Times New Roman" w:cs="Times New Roman"/>
          <w:color w:val="4D5156"/>
          <w:sz w:val="22"/>
          <w:szCs w:val="22"/>
          <w:highlight w:val="yellow"/>
          <w:shd w:val="clear" w:color="auto" w:fill="FFFFFF"/>
        </w:rPr>
        <w:t xml:space="preserve"> </w:t>
      </w:r>
      <w:r w:rsidR="00AF1766">
        <w:rPr>
          <w:rFonts w:ascii="Times New Roman" w:hAnsi="Times New Roman" w:cs="Times New Roman"/>
          <w:color w:val="4D5156"/>
          <w:sz w:val="22"/>
          <w:szCs w:val="22"/>
          <w:highlight w:val="yellow"/>
          <w:shd w:val="clear" w:color="auto" w:fill="FFFFFF"/>
        </w:rPr>
        <w:t>označenie žiadateľov</w:t>
      </w:r>
      <w:r w:rsidR="00010766">
        <w:rPr>
          <w:rFonts w:ascii="Times New Roman" w:hAnsi="Times New Roman" w:cs="Times New Roman"/>
          <w:color w:val="4D5156"/>
          <w:sz w:val="22"/>
          <w:szCs w:val="22"/>
          <w:highlight w:val="yellow"/>
          <w:shd w:val="clear" w:color="auto" w:fill="FFFFFF"/>
        </w:rPr>
        <w:t>:</w:t>
      </w:r>
      <w:r w:rsidR="000318C6">
        <w:rPr>
          <w:rFonts w:ascii="Times New Roman" w:hAnsi="Times New Roman" w:cs="Times New Roman"/>
          <w:color w:val="4D5156"/>
          <w:sz w:val="22"/>
          <w:szCs w:val="22"/>
          <w:highlight w:val="yellow"/>
          <w:shd w:val="clear" w:color="auto" w:fill="FFFFFF"/>
        </w:rPr>
        <w:t xml:space="preserve"> </w:t>
      </w:r>
      <w:r w:rsidR="00AF1766">
        <w:rPr>
          <w:rFonts w:ascii="Times New Roman" w:hAnsi="Times New Roman" w:cs="Times New Roman"/>
          <w:color w:val="4D5156"/>
          <w:sz w:val="22"/>
          <w:szCs w:val="22"/>
          <w:highlight w:val="yellow"/>
          <w:shd w:val="clear" w:color="auto" w:fill="FFFFFF"/>
        </w:rPr>
        <w:t xml:space="preserve">partner verejného sektora </w:t>
      </w:r>
      <w:r w:rsidR="00010766">
        <w:rPr>
          <w:rFonts w:ascii="Times New Roman" w:hAnsi="Times New Roman" w:cs="Times New Roman"/>
          <w:color w:val="4D5156"/>
          <w:sz w:val="22"/>
          <w:szCs w:val="22"/>
          <w:highlight w:val="yellow"/>
          <w:shd w:val="clear" w:color="auto" w:fill="FFFFFF"/>
        </w:rPr>
        <w:t>– názov a sídlo</w:t>
      </w:r>
    </w:p>
    <w:p w14:paraId="2E9D8B31" w14:textId="5BBFA761" w:rsidR="00C9364C" w:rsidRPr="00C9364C" w:rsidRDefault="00AF1766" w:rsidP="00DF5486">
      <w:pPr>
        <w:pBdr>
          <w:bottom w:val="single" w:sz="6" w:space="1" w:color="auto"/>
        </w:pBdr>
        <w:spacing w:line="269" w:lineRule="auto"/>
        <w:jc w:val="center"/>
        <w:rPr>
          <w:rFonts w:ascii="Times New Roman" w:hAnsi="Times New Roman" w:cs="Times New Roman"/>
          <w:color w:val="4D5156"/>
          <w:sz w:val="22"/>
          <w:szCs w:val="22"/>
          <w:shd w:val="clear" w:color="auto" w:fill="FFFFFF"/>
        </w:rPr>
      </w:pPr>
      <w:r>
        <w:rPr>
          <w:rFonts w:ascii="Times New Roman" w:hAnsi="Times New Roman" w:cs="Times New Roman"/>
          <w:color w:val="4D5156"/>
          <w:sz w:val="22"/>
          <w:szCs w:val="22"/>
          <w:highlight w:val="yellow"/>
          <w:shd w:val="clear" w:color="auto" w:fill="FFFFFF"/>
        </w:rPr>
        <w:t>KÚV</w:t>
      </w:r>
      <w:r w:rsidR="00010766">
        <w:rPr>
          <w:rFonts w:ascii="Times New Roman" w:hAnsi="Times New Roman" w:cs="Times New Roman"/>
          <w:color w:val="4D5156"/>
          <w:sz w:val="22"/>
          <w:szCs w:val="22"/>
          <w:highlight w:val="yellow"/>
          <w:shd w:val="clear" w:color="auto" w:fill="FFFFFF"/>
        </w:rPr>
        <w:t xml:space="preserve"> – meno a priezvisko, adresa </w:t>
      </w:r>
      <w:r w:rsidR="0054155E" w:rsidRPr="00C9259C">
        <w:rPr>
          <w:rFonts w:ascii="Times New Roman" w:hAnsi="Times New Roman" w:cs="Times New Roman"/>
          <w:color w:val="4D5156"/>
          <w:sz w:val="22"/>
          <w:szCs w:val="22"/>
          <w:highlight w:val="yellow"/>
          <w:shd w:val="clear" w:color="auto" w:fill="FFFFFF"/>
        </w:rPr>
        <w:t>*</w:t>
      </w:r>
      <w:r w:rsidR="00C9364C" w:rsidRPr="00C9364C">
        <w:rPr>
          <w:rFonts w:ascii="Times New Roman" w:hAnsi="Times New Roman" w:cs="Times New Roman"/>
          <w:color w:val="4D5156"/>
          <w:sz w:val="22"/>
          <w:szCs w:val="22"/>
          <w:highlight w:val="yellow"/>
          <w:shd w:val="clear" w:color="auto" w:fill="FFFFFF"/>
        </w:rPr>
        <w:t>]</w:t>
      </w:r>
    </w:p>
    <w:p w14:paraId="22ABEC90" w14:textId="77777777" w:rsidR="00C9364C" w:rsidRPr="00C9364C" w:rsidRDefault="00C9364C" w:rsidP="00DF5486">
      <w:pPr>
        <w:spacing w:line="269" w:lineRule="auto"/>
        <w:jc w:val="both"/>
        <w:rPr>
          <w:rFonts w:ascii="Times New Roman" w:hAnsi="Times New Roman" w:cs="Times New Roman"/>
          <w:b/>
          <w:bCs/>
          <w:sz w:val="22"/>
          <w:szCs w:val="22"/>
        </w:rPr>
      </w:pPr>
    </w:p>
    <w:p w14:paraId="389F1A58" w14:textId="2C2F14BC" w:rsidR="00C9364C" w:rsidRPr="00C9364C" w:rsidRDefault="00FD04D5" w:rsidP="00DF5486">
      <w:pPr>
        <w:spacing w:line="269" w:lineRule="auto"/>
        <w:jc w:val="both"/>
        <w:rPr>
          <w:rFonts w:ascii="Times New Roman" w:hAnsi="Times New Roman" w:cs="Times New Roman"/>
          <w:b/>
          <w:bCs/>
          <w:sz w:val="22"/>
          <w:szCs w:val="22"/>
        </w:rPr>
      </w:pPr>
      <w:r>
        <w:rPr>
          <w:rFonts w:ascii="Times New Roman" w:hAnsi="Times New Roman" w:cs="Times New Roman"/>
          <w:b/>
          <w:bCs/>
          <w:sz w:val="22"/>
          <w:szCs w:val="22"/>
        </w:rPr>
        <w:t>Ministerstvo spravodlivosti Slovenskej republiky</w:t>
      </w:r>
    </w:p>
    <w:p w14:paraId="1EFB2991" w14:textId="158524F3" w:rsidR="00C9364C" w:rsidRPr="00C9364C" w:rsidRDefault="00FD04D5" w:rsidP="00DF5486">
      <w:pPr>
        <w:spacing w:line="269" w:lineRule="auto"/>
        <w:jc w:val="both"/>
        <w:rPr>
          <w:rFonts w:ascii="Times New Roman" w:hAnsi="Times New Roman" w:cs="Times New Roman"/>
          <w:sz w:val="22"/>
          <w:szCs w:val="22"/>
        </w:rPr>
      </w:pPr>
      <w:r>
        <w:rPr>
          <w:rFonts w:ascii="Times New Roman" w:hAnsi="Times New Roman" w:cs="Times New Roman"/>
          <w:sz w:val="22"/>
          <w:szCs w:val="22"/>
        </w:rPr>
        <w:t>Račianska 71</w:t>
      </w:r>
    </w:p>
    <w:p w14:paraId="24766B95" w14:textId="2C8250EC" w:rsidR="00C9364C" w:rsidRPr="00AF1766" w:rsidRDefault="00FD04D5" w:rsidP="00DF5486">
      <w:pPr>
        <w:spacing w:line="269" w:lineRule="auto"/>
        <w:jc w:val="both"/>
        <w:rPr>
          <w:rFonts w:ascii="Times New Roman" w:hAnsi="Times New Roman" w:cs="Times New Roman"/>
          <w:sz w:val="22"/>
          <w:szCs w:val="22"/>
          <w:u w:val="single"/>
        </w:rPr>
      </w:pPr>
      <w:r>
        <w:rPr>
          <w:rFonts w:ascii="Times New Roman" w:hAnsi="Times New Roman" w:cs="Times New Roman"/>
          <w:sz w:val="22"/>
          <w:szCs w:val="22"/>
          <w:u w:val="single"/>
        </w:rPr>
        <w:t>813 11 Bratislava</w:t>
      </w:r>
    </w:p>
    <w:p w14:paraId="6E09E6AD" w14:textId="77777777" w:rsidR="00C9364C" w:rsidRPr="00C9364C" w:rsidRDefault="00C9364C" w:rsidP="00DF5486">
      <w:pPr>
        <w:spacing w:line="269" w:lineRule="auto"/>
        <w:rPr>
          <w:rFonts w:ascii="Times New Roman" w:hAnsi="Times New Roman" w:cs="Times New Roman"/>
          <w:sz w:val="22"/>
          <w:szCs w:val="22"/>
        </w:rPr>
      </w:pPr>
    </w:p>
    <w:p w14:paraId="0CE379DB" w14:textId="77777777" w:rsidR="00C9364C" w:rsidRPr="00C9364C" w:rsidRDefault="00C9364C" w:rsidP="00DF5486">
      <w:pPr>
        <w:spacing w:line="269" w:lineRule="auto"/>
        <w:rPr>
          <w:rFonts w:ascii="Times New Roman" w:hAnsi="Times New Roman" w:cs="Times New Roman"/>
          <w:sz w:val="22"/>
          <w:szCs w:val="22"/>
        </w:rPr>
      </w:pPr>
    </w:p>
    <w:p w14:paraId="0DC6758B" w14:textId="77777777" w:rsidR="00C9364C" w:rsidRPr="00C9364C" w:rsidRDefault="00C9364C" w:rsidP="00DF5486">
      <w:pPr>
        <w:spacing w:line="269" w:lineRule="auto"/>
        <w:jc w:val="right"/>
        <w:rPr>
          <w:rFonts w:ascii="Times New Roman" w:hAnsi="Times New Roman" w:cs="Times New Roman"/>
          <w:sz w:val="22"/>
          <w:szCs w:val="22"/>
        </w:rPr>
      </w:pPr>
      <w:r w:rsidRPr="00C9364C">
        <w:rPr>
          <w:rFonts w:ascii="Times New Roman" w:hAnsi="Times New Roman" w:cs="Times New Roman"/>
          <w:color w:val="4D5156"/>
          <w:sz w:val="22"/>
          <w:szCs w:val="22"/>
          <w:shd w:val="clear" w:color="auto" w:fill="FFFFFF"/>
        </w:rPr>
        <w:t xml:space="preserve">[V </w:t>
      </w:r>
      <w:r w:rsidRPr="00C9259C">
        <w:rPr>
          <w:rFonts w:ascii="Times New Roman" w:hAnsi="Times New Roman" w:cs="Times New Roman"/>
          <w:color w:val="4D5156"/>
          <w:sz w:val="22"/>
          <w:szCs w:val="22"/>
          <w:highlight w:val="yellow"/>
          <w:shd w:val="clear" w:color="auto" w:fill="FFFFFF"/>
        </w:rPr>
        <w:t>*******</w:t>
      </w:r>
      <w:r w:rsidRPr="00C9364C">
        <w:rPr>
          <w:rFonts w:ascii="Times New Roman" w:hAnsi="Times New Roman" w:cs="Times New Roman"/>
          <w:color w:val="4D5156"/>
          <w:sz w:val="22"/>
          <w:szCs w:val="22"/>
          <w:shd w:val="clear" w:color="auto" w:fill="FFFFFF"/>
        </w:rPr>
        <w:t xml:space="preserve">, dňa </w:t>
      </w:r>
      <w:r w:rsidRPr="00C9259C">
        <w:rPr>
          <w:rFonts w:ascii="Times New Roman" w:hAnsi="Times New Roman" w:cs="Times New Roman"/>
          <w:color w:val="4D5156"/>
          <w:sz w:val="22"/>
          <w:szCs w:val="22"/>
          <w:highlight w:val="yellow"/>
          <w:shd w:val="clear" w:color="auto" w:fill="FFFFFF"/>
        </w:rPr>
        <w:t>***</w:t>
      </w:r>
      <w:r w:rsidRPr="00C9364C">
        <w:rPr>
          <w:rFonts w:ascii="Times New Roman" w:hAnsi="Times New Roman" w:cs="Times New Roman"/>
          <w:color w:val="4D5156"/>
          <w:sz w:val="22"/>
          <w:szCs w:val="22"/>
          <w:shd w:val="clear" w:color="auto" w:fill="FFFFFF"/>
        </w:rPr>
        <w:t>]</w:t>
      </w:r>
    </w:p>
    <w:p w14:paraId="0FF93181" w14:textId="77777777" w:rsidR="00C9364C" w:rsidRPr="00C9364C" w:rsidRDefault="00C9364C" w:rsidP="00DF5486">
      <w:pPr>
        <w:spacing w:line="269" w:lineRule="auto"/>
        <w:rPr>
          <w:rFonts w:ascii="Times New Roman" w:hAnsi="Times New Roman" w:cs="Times New Roman"/>
          <w:i/>
          <w:iCs/>
        </w:rPr>
      </w:pPr>
    </w:p>
    <w:p w14:paraId="65ECD99C" w14:textId="02C1EC28" w:rsidR="00C9364C" w:rsidRPr="00C9364C" w:rsidRDefault="00FD04D5" w:rsidP="00DF5486">
      <w:pPr>
        <w:spacing w:line="269" w:lineRule="auto"/>
        <w:rPr>
          <w:rFonts w:ascii="Times New Roman" w:hAnsi="Times New Roman" w:cs="Times New Roman"/>
          <w:i/>
          <w:iCs/>
          <w:sz w:val="22"/>
          <w:szCs w:val="22"/>
        </w:rPr>
      </w:pPr>
      <w:r>
        <w:rPr>
          <w:rFonts w:ascii="Times New Roman" w:hAnsi="Times New Roman" w:cs="Times New Roman"/>
          <w:i/>
          <w:iCs/>
          <w:sz w:val="22"/>
          <w:szCs w:val="22"/>
        </w:rPr>
        <w:t>Ministerstvo spravodlivosti Slovenskej republiky</w:t>
      </w:r>
      <w:r w:rsidR="00C9364C" w:rsidRPr="00C9364C">
        <w:rPr>
          <w:rFonts w:ascii="Times New Roman" w:hAnsi="Times New Roman" w:cs="Times New Roman"/>
          <w:i/>
          <w:iCs/>
          <w:sz w:val="22"/>
          <w:szCs w:val="22"/>
        </w:rPr>
        <w:t xml:space="preserve">! </w:t>
      </w:r>
    </w:p>
    <w:p w14:paraId="4A6514E8" w14:textId="77777777" w:rsidR="00C9364C" w:rsidRPr="00C9364C" w:rsidRDefault="00C9364C" w:rsidP="00DF5486">
      <w:pPr>
        <w:spacing w:line="269" w:lineRule="auto"/>
        <w:rPr>
          <w:rFonts w:ascii="Times New Roman" w:hAnsi="Times New Roman" w:cs="Times New Roman"/>
          <w:sz w:val="22"/>
          <w:szCs w:val="22"/>
        </w:rPr>
      </w:pPr>
    </w:p>
    <w:p w14:paraId="22DFDCF4" w14:textId="2DBBB697" w:rsidR="00C9364C" w:rsidRPr="00C9364C" w:rsidRDefault="00C9364C" w:rsidP="00DF5486">
      <w:pPr>
        <w:spacing w:line="269" w:lineRule="auto"/>
        <w:jc w:val="both"/>
        <w:rPr>
          <w:rFonts w:ascii="Times New Roman" w:hAnsi="Times New Roman" w:cs="Times New Roman"/>
          <w:sz w:val="22"/>
          <w:szCs w:val="22"/>
        </w:rPr>
      </w:pPr>
      <w:r w:rsidRPr="00C9364C">
        <w:rPr>
          <w:rFonts w:ascii="Times New Roman" w:hAnsi="Times New Roman" w:cs="Times New Roman"/>
          <w:sz w:val="22"/>
          <w:szCs w:val="22"/>
        </w:rPr>
        <w:t xml:space="preserve">V registri partnerov verejného sektora, vedenom Okresným súdom Žilina (ďalej </w:t>
      </w:r>
      <w:r w:rsidR="009E63AE">
        <w:rPr>
          <w:rFonts w:ascii="Times New Roman" w:hAnsi="Times New Roman" w:cs="Times New Roman"/>
          <w:sz w:val="22"/>
          <w:szCs w:val="22"/>
        </w:rPr>
        <w:t xml:space="preserve">aj </w:t>
      </w:r>
      <w:r w:rsidRPr="00C9364C">
        <w:rPr>
          <w:rFonts w:ascii="Times New Roman" w:hAnsi="Times New Roman" w:cs="Times New Roman"/>
          <w:sz w:val="22"/>
          <w:szCs w:val="22"/>
        </w:rPr>
        <w:t>ako „</w:t>
      </w:r>
      <w:r w:rsidRPr="00C9364C">
        <w:rPr>
          <w:rFonts w:ascii="Times New Roman" w:hAnsi="Times New Roman" w:cs="Times New Roman"/>
          <w:b/>
          <w:bCs/>
          <w:i/>
          <w:iCs/>
          <w:sz w:val="22"/>
          <w:szCs w:val="22"/>
        </w:rPr>
        <w:t>RPVS</w:t>
      </w:r>
      <w:r w:rsidRPr="00C9364C">
        <w:rPr>
          <w:rFonts w:ascii="Times New Roman" w:hAnsi="Times New Roman" w:cs="Times New Roman"/>
          <w:sz w:val="22"/>
          <w:szCs w:val="22"/>
        </w:rPr>
        <w:t xml:space="preserve">“),  </w:t>
      </w:r>
      <w:r w:rsidR="000679C6" w:rsidRPr="000679C6">
        <w:rPr>
          <w:rFonts w:ascii="Times New Roman" w:hAnsi="Times New Roman" w:cs="Times New Roman"/>
          <w:sz w:val="22"/>
          <w:szCs w:val="22"/>
          <w:highlight w:val="yellow"/>
        </w:rPr>
        <w:t>som/sme</w:t>
      </w:r>
      <w:r w:rsidRPr="00C9364C">
        <w:rPr>
          <w:rFonts w:ascii="Times New Roman" w:hAnsi="Times New Roman" w:cs="Times New Roman"/>
          <w:sz w:val="22"/>
          <w:szCs w:val="22"/>
        </w:rPr>
        <w:t xml:space="preserve"> zapísan</w:t>
      </w:r>
      <w:r w:rsidR="000679C6" w:rsidRPr="000679C6">
        <w:rPr>
          <w:rFonts w:ascii="Times New Roman" w:hAnsi="Times New Roman" w:cs="Times New Roman"/>
          <w:sz w:val="22"/>
          <w:szCs w:val="22"/>
          <w:highlight w:val="yellow"/>
        </w:rPr>
        <w:t>ý/í</w:t>
      </w:r>
      <w:r w:rsidR="008B6995">
        <w:rPr>
          <w:rFonts w:ascii="Times New Roman" w:hAnsi="Times New Roman" w:cs="Times New Roman"/>
          <w:sz w:val="22"/>
          <w:szCs w:val="22"/>
        </w:rPr>
        <w:t xml:space="preserve"> </w:t>
      </w:r>
      <w:r w:rsidRPr="00C9364C">
        <w:rPr>
          <w:rFonts w:ascii="Times New Roman" w:hAnsi="Times New Roman" w:cs="Times New Roman"/>
          <w:sz w:val="22"/>
          <w:szCs w:val="22"/>
        </w:rPr>
        <w:t>ako konečn</w:t>
      </w:r>
      <w:r w:rsidR="00161631" w:rsidRPr="00161631">
        <w:rPr>
          <w:rFonts w:ascii="Times New Roman" w:hAnsi="Times New Roman" w:cs="Times New Roman"/>
          <w:sz w:val="22"/>
          <w:szCs w:val="22"/>
          <w:highlight w:val="yellow"/>
        </w:rPr>
        <w:t>ý/</w:t>
      </w:r>
      <w:r w:rsidRPr="00161631">
        <w:rPr>
          <w:rFonts w:ascii="Times New Roman" w:hAnsi="Times New Roman" w:cs="Times New Roman"/>
          <w:sz w:val="22"/>
          <w:szCs w:val="22"/>
          <w:highlight w:val="yellow"/>
        </w:rPr>
        <w:t>í</w:t>
      </w:r>
      <w:r w:rsidRPr="00C9364C">
        <w:rPr>
          <w:rFonts w:ascii="Times New Roman" w:hAnsi="Times New Roman" w:cs="Times New Roman"/>
          <w:sz w:val="22"/>
          <w:szCs w:val="22"/>
        </w:rPr>
        <w:t xml:space="preserve"> </w:t>
      </w:r>
      <w:r w:rsidR="008B6995" w:rsidRPr="000E5390">
        <w:rPr>
          <w:rFonts w:ascii="Times New Roman" w:hAnsi="Times New Roman" w:cs="Times New Roman"/>
          <w:sz w:val="22"/>
          <w:szCs w:val="22"/>
          <w:highlight w:val="yellow"/>
        </w:rPr>
        <w:t>užívateľ</w:t>
      </w:r>
      <w:r w:rsidR="000E5390" w:rsidRPr="000E5390">
        <w:rPr>
          <w:rFonts w:ascii="Times New Roman" w:hAnsi="Times New Roman" w:cs="Times New Roman"/>
          <w:sz w:val="22"/>
          <w:szCs w:val="22"/>
          <w:highlight w:val="yellow"/>
        </w:rPr>
        <w:t>/užívatelia</w:t>
      </w:r>
      <w:r w:rsidRPr="00C9364C">
        <w:rPr>
          <w:rFonts w:ascii="Times New Roman" w:hAnsi="Times New Roman" w:cs="Times New Roman"/>
          <w:sz w:val="22"/>
          <w:szCs w:val="22"/>
        </w:rPr>
        <w:t xml:space="preserve"> výhod (ďalej ako „</w:t>
      </w:r>
      <w:r w:rsidRPr="00C9364C">
        <w:rPr>
          <w:rFonts w:ascii="Times New Roman" w:hAnsi="Times New Roman" w:cs="Times New Roman"/>
          <w:b/>
          <w:bCs/>
          <w:i/>
          <w:iCs/>
          <w:sz w:val="22"/>
          <w:szCs w:val="22"/>
        </w:rPr>
        <w:t>KÚV</w:t>
      </w:r>
      <w:r w:rsidRPr="00C9364C">
        <w:rPr>
          <w:rFonts w:ascii="Times New Roman" w:hAnsi="Times New Roman" w:cs="Times New Roman"/>
          <w:sz w:val="22"/>
          <w:szCs w:val="22"/>
        </w:rPr>
        <w:t xml:space="preserve">“)  </w:t>
      </w:r>
      <w:r w:rsidRPr="00C9364C">
        <w:rPr>
          <w:rFonts w:ascii="Times New Roman" w:hAnsi="Times New Roman" w:cs="Times New Roman"/>
          <w:color w:val="4D5156"/>
          <w:sz w:val="22"/>
          <w:szCs w:val="22"/>
          <w:shd w:val="clear" w:color="auto" w:fill="FFFFFF"/>
        </w:rPr>
        <w:t>[</w:t>
      </w:r>
      <w:r w:rsidR="009E108F" w:rsidRPr="00C9259C">
        <w:rPr>
          <w:rFonts w:ascii="Times New Roman" w:hAnsi="Times New Roman" w:cs="Times New Roman"/>
          <w:color w:val="4D5156"/>
          <w:sz w:val="22"/>
          <w:szCs w:val="22"/>
          <w:highlight w:val="yellow"/>
          <w:shd w:val="clear" w:color="auto" w:fill="FFFFFF"/>
        </w:rPr>
        <w:t>*</w:t>
      </w:r>
      <w:r w:rsidRPr="00D45B5F">
        <w:rPr>
          <w:rFonts w:ascii="Times New Roman" w:hAnsi="Times New Roman" w:cs="Times New Roman"/>
          <w:color w:val="4D5156"/>
          <w:sz w:val="22"/>
          <w:szCs w:val="22"/>
          <w:highlight w:val="yellow"/>
          <w:shd w:val="clear" w:color="auto" w:fill="FFFFFF"/>
        </w:rPr>
        <w:t>men</w:t>
      </w:r>
      <w:r w:rsidR="00865BDD">
        <w:rPr>
          <w:rFonts w:ascii="Times New Roman" w:hAnsi="Times New Roman" w:cs="Times New Roman"/>
          <w:color w:val="4D5156"/>
          <w:sz w:val="22"/>
          <w:szCs w:val="22"/>
          <w:highlight w:val="yellow"/>
          <w:shd w:val="clear" w:color="auto" w:fill="FFFFFF"/>
        </w:rPr>
        <w:t xml:space="preserve">o a priezvisko každého </w:t>
      </w:r>
      <w:r w:rsidRPr="00D45B5F">
        <w:rPr>
          <w:rFonts w:ascii="Times New Roman" w:hAnsi="Times New Roman" w:cs="Times New Roman"/>
          <w:color w:val="4D5156"/>
          <w:sz w:val="22"/>
          <w:szCs w:val="22"/>
          <w:highlight w:val="yellow"/>
          <w:shd w:val="clear" w:color="auto" w:fill="FFFFFF"/>
        </w:rPr>
        <w:t xml:space="preserve">KÚV </w:t>
      </w:r>
      <w:r w:rsidR="00865BDD">
        <w:rPr>
          <w:rFonts w:ascii="Times New Roman" w:hAnsi="Times New Roman" w:cs="Times New Roman"/>
          <w:color w:val="4D5156"/>
          <w:sz w:val="22"/>
          <w:szCs w:val="22"/>
          <w:highlight w:val="yellow"/>
          <w:shd w:val="clear" w:color="auto" w:fill="FFFFFF"/>
        </w:rPr>
        <w:t>pre danú spoločnosť</w:t>
      </w:r>
      <w:r w:rsidR="009E108F" w:rsidRPr="00C9259C">
        <w:rPr>
          <w:rFonts w:ascii="Times New Roman" w:hAnsi="Times New Roman" w:cs="Times New Roman"/>
          <w:color w:val="4D5156"/>
          <w:sz w:val="22"/>
          <w:szCs w:val="22"/>
          <w:highlight w:val="yellow"/>
          <w:shd w:val="clear" w:color="auto" w:fill="FFFFFF"/>
        </w:rPr>
        <w:t>*</w:t>
      </w:r>
      <w:r w:rsidRPr="00C9364C">
        <w:rPr>
          <w:rFonts w:ascii="Times New Roman" w:hAnsi="Times New Roman" w:cs="Times New Roman"/>
          <w:color w:val="4D5156"/>
          <w:sz w:val="22"/>
          <w:szCs w:val="22"/>
          <w:shd w:val="clear" w:color="auto" w:fill="FFFFFF"/>
        </w:rPr>
        <w:t xml:space="preserve">] </w:t>
      </w:r>
      <w:r w:rsidR="00BE196A">
        <w:rPr>
          <w:rFonts w:ascii="Times New Roman" w:hAnsi="Times New Roman" w:cs="Times New Roman"/>
          <w:sz w:val="22"/>
          <w:szCs w:val="22"/>
        </w:rPr>
        <w:t>v</w:t>
      </w:r>
      <w:r w:rsidRPr="00C9364C">
        <w:rPr>
          <w:rFonts w:ascii="Times New Roman" w:hAnsi="Times New Roman" w:cs="Times New Roman"/>
          <w:sz w:val="22"/>
          <w:szCs w:val="22"/>
        </w:rPr>
        <w:t xml:space="preserve"> spoločnosti ako partnera verejného sektora </w:t>
      </w:r>
      <w:r w:rsidRPr="00C9364C">
        <w:rPr>
          <w:rFonts w:ascii="Times New Roman" w:hAnsi="Times New Roman" w:cs="Times New Roman"/>
          <w:color w:val="4D5156"/>
          <w:sz w:val="22"/>
          <w:szCs w:val="22"/>
          <w:shd w:val="clear" w:color="auto" w:fill="FFFFFF"/>
        </w:rPr>
        <w:t>[</w:t>
      </w:r>
      <w:r w:rsidR="002179AE" w:rsidRPr="00C9259C">
        <w:rPr>
          <w:rFonts w:ascii="Times New Roman" w:hAnsi="Times New Roman" w:cs="Times New Roman"/>
          <w:color w:val="4D5156"/>
          <w:sz w:val="22"/>
          <w:szCs w:val="22"/>
          <w:highlight w:val="yellow"/>
          <w:shd w:val="clear" w:color="auto" w:fill="FFFFFF"/>
        </w:rPr>
        <w:t>*</w:t>
      </w:r>
      <w:r w:rsidRPr="002179AE">
        <w:rPr>
          <w:rFonts w:ascii="Times New Roman" w:hAnsi="Times New Roman" w:cs="Times New Roman"/>
          <w:color w:val="4D5156"/>
          <w:sz w:val="22"/>
          <w:szCs w:val="22"/>
          <w:highlight w:val="yellow"/>
          <w:shd w:val="clear" w:color="auto" w:fill="FFFFFF"/>
        </w:rPr>
        <w:t>obchodné meno, sídlo, IČO, zápis v registri</w:t>
      </w:r>
      <w:r w:rsidR="002179AE" w:rsidRPr="00C9259C">
        <w:rPr>
          <w:rFonts w:ascii="Times New Roman" w:hAnsi="Times New Roman" w:cs="Times New Roman"/>
          <w:color w:val="4D5156"/>
          <w:sz w:val="22"/>
          <w:szCs w:val="22"/>
          <w:highlight w:val="yellow"/>
          <w:shd w:val="clear" w:color="auto" w:fill="FFFFFF"/>
        </w:rPr>
        <w:t>*</w:t>
      </w:r>
      <w:r w:rsidRPr="00C9364C">
        <w:rPr>
          <w:rFonts w:ascii="Times New Roman" w:hAnsi="Times New Roman" w:cs="Times New Roman"/>
          <w:color w:val="4D5156"/>
          <w:sz w:val="22"/>
          <w:szCs w:val="22"/>
          <w:shd w:val="clear" w:color="auto" w:fill="FFFFFF"/>
        </w:rPr>
        <w:t xml:space="preserve">] </w:t>
      </w:r>
      <w:r w:rsidRPr="00C9364C">
        <w:rPr>
          <w:rFonts w:ascii="Times New Roman" w:hAnsi="Times New Roman" w:cs="Times New Roman"/>
          <w:sz w:val="22"/>
          <w:szCs w:val="22"/>
        </w:rPr>
        <w:t>(ďalej ako „</w:t>
      </w:r>
      <w:r w:rsidRPr="00C9364C">
        <w:rPr>
          <w:rFonts w:ascii="Times New Roman" w:hAnsi="Times New Roman" w:cs="Times New Roman"/>
          <w:b/>
          <w:bCs/>
          <w:i/>
          <w:iCs/>
          <w:sz w:val="22"/>
          <w:szCs w:val="22"/>
        </w:rPr>
        <w:t>PVS</w:t>
      </w:r>
      <w:r w:rsidRPr="00C9364C">
        <w:rPr>
          <w:rFonts w:ascii="Times New Roman" w:hAnsi="Times New Roman" w:cs="Times New Roman"/>
          <w:sz w:val="22"/>
          <w:szCs w:val="22"/>
        </w:rPr>
        <w:t xml:space="preserve">“). </w:t>
      </w:r>
    </w:p>
    <w:p w14:paraId="012C39DC" w14:textId="77777777" w:rsidR="00C9364C" w:rsidRPr="00C9364C" w:rsidRDefault="00C9364C" w:rsidP="00DF5486">
      <w:pPr>
        <w:spacing w:line="269" w:lineRule="auto"/>
        <w:jc w:val="both"/>
        <w:rPr>
          <w:rFonts w:ascii="Times New Roman" w:hAnsi="Times New Roman" w:cs="Times New Roman"/>
          <w:sz w:val="22"/>
          <w:szCs w:val="22"/>
        </w:rPr>
      </w:pPr>
    </w:p>
    <w:p w14:paraId="18B46FC3" w14:textId="77777777" w:rsidR="00C9364C" w:rsidRPr="00C9364C" w:rsidRDefault="00C9364C" w:rsidP="00DF5486">
      <w:pPr>
        <w:spacing w:line="269" w:lineRule="auto"/>
        <w:jc w:val="both"/>
        <w:rPr>
          <w:rFonts w:ascii="Times New Roman" w:hAnsi="Times New Roman" w:cs="Times New Roman"/>
          <w:sz w:val="22"/>
          <w:szCs w:val="22"/>
        </w:rPr>
      </w:pPr>
      <w:r w:rsidRPr="00C9364C">
        <w:rPr>
          <w:rFonts w:ascii="Times New Roman" w:hAnsi="Times New Roman" w:cs="Times New Roman"/>
          <w:sz w:val="22"/>
          <w:szCs w:val="22"/>
        </w:rPr>
        <w:t xml:space="preserve">Je skutočnosťou, že účelom zriadenia RPVS bolo zverejnenie informácií o skutočných vlastníkoch právnických osôb/KÚV, ktoré vstupujú do finančných vzťahov s verejným sektorom. Slovenský normotvorca tak zaviedol režim verejného prístupu k RPVS, ktorý umožňuje komukoľvek zo širokej verejnosti prístup k informáciám týkajúcim sa konečných užívateľov výhod PVS  obsiahnutých v RPVS bez toho, aby bolo potrebné preukázať akýkoľvek legitímny záujem. </w:t>
      </w:r>
    </w:p>
    <w:p w14:paraId="5D304037" w14:textId="77777777" w:rsidR="00C9364C" w:rsidRPr="00C9364C" w:rsidRDefault="00C9364C" w:rsidP="00DF5486">
      <w:pPr>
        <w:spacing w:line="269" w:lineRule="auto"/>
        <w:jc w:val="both"/>
        <w:rPr>
          <w:rFonts w:ascii="Times New Roman" w:hAnsi="Times New Roman" w:cs="Times New Roman"/>
          <w:sz w:val="22"/>
          <w:szCs w:val="22"/>
        </w:rPr>
      </w:pPr>
    </w:p>
    <w:p w14:paraId="1F1C620D" w14:textId="53849A27" w:rsidR="00C9364C" w:rsidRPr="00C9364C" w:rsidRDefault="00C9364C" w:rsidP="00DF5486">
      <w:pPr>
        <w:spacing w:line="269" w:lineRule="auto"/>
        <w:jc w:val="both"/>
        <w:rPr>
          <w:rFonts w:ascii="Times New Roman" w:hAnsi="Times New Roman" w:cs="Times New Roman"/>
          <w:sz w:val="22"/>
          <w:szCs w:val="22"/>
        </w:rPr>
      </w:pPr>
      <w:r w:rsidRPr="00C9364C">
        <w:rPr>
          <w:rFonts w:ascii="Times New Roman" w:hAnsi="Times New Roman" w:cs="Times New Roman"/>
          <w:sz w:val="22"/>
          <w:szCs w:val="22"/>
        </w:rPr>
        <w:t>Platí, že skutoční vlastníci sú určovaní ako tzv. „KÚV“ a ich identifikácia úzko súvisí s agendou boja proti praniu špinavých peňazí a právnou úpravou týkajúcou sa predchádzania a odhaľovania legalizácie príjmov z trestnej činnosti, a to nielen v podmienkach slovenskej legislatívy ale aj na celoeurópskej úrovni.</w:t>
      </w:r>
      <w:r w:rsidRPr="00C9364C">
        <w:rPr>
          <w:rStyle w:val="Odkaznapoznmkupodiarou"/>
          <w:rFonts w:ascii="Times New Roman" w:hAnsi="Times New Roman" w:cs="Times New Roman"/>
          <w:sz w:val="22"/>
          <w:szCs w:val="22"/>
        </w:rPr>
        <w:footnoteReference w:id="1"/>
      </w:r>
      <w:r w:rsidRPr="00C9364C">
        <w:rPr>
          <w:rFonts w:ascii="Times New Roman" w:hAnsi="Times New Roman" w:cs="Times New Roman"/>
          <w:b/>
          <w:bCs/>
          <w:sz w:val="22"/>
          <w:szCs w:val="22"/>
        </w:rPr>
        <w:t xml:space="preserve"> </w:t>
      </w:r>
      <w:r w:rsidRPr="00C9364C">
        <w:rPr>
          <w:rFonts w:ascii="Times New Roman" w:hAnsi="Times New Roman" w:cs="Times New Roman"/>
          <w:sz w:val="22"/>
          <w:szCs w:val="22"/>
        </w:rPr>
        <w:t>Definíciu pojmu „KÚV“ ako aj vymedzenie niektorých skutočností, ktoré zakladajú postavenie KÚV konkrétneho subjektu neobsahuje priamo zákon o RPVS</w:t>
      </w:r>
      <w:r w:rsidRPr="00C9364C">
        <w:rPr>
          <w:rStyle w:val="Odkaznapoznmkupodiarou"/>
          <w:rFonts w:ascii="Times New Roman" w:hAnsi="Times New Roman" w:cs="Times New Roman"/>
          <w:sz w:val="22"/>
          <w:szCs w:val="22"/>
        </w:rPr>
        <w:footnoteReference w:id="2"/>
      </w:r>
      <w:r w:rsidRPr="00C9364C">
        <w:rPr>
          <w:rFonts w:ascii="Times New Roman" w:hAnsi="Times New Roman" w:cs="Times New Roman"/>
          <w:sz w:val="22"/>
          <w:szCs w:val="22"/>
        </w:rPr>
        <w:t>, ale sú upravené v osobitnom predpise, ktorým je zákon o AML</w:t>
      </w:r>
      <w:r w:rsidRPr="00C9364C">
        <w:rPr>
          <w:rStyle w:val="Odkaznapoznmkupodiarou"/>
          <w:rFonts w:ascii="Times New Roman" w:hAnsi="Times New Roman" w:cs="Times New Roman"/>
          <w:sz w:val="22"/>
          <w:szCs w:val="22"/>
        </w:rPr>
        <w:footnoteReference w:id="3"/>
      </w:r>
      <w:r w:rsidRPr="00C9364C">
        <w:rPr>
          <w:rFonts w:ascii="Times New Roman" w:hAnsi="Times New Roman" w:cs="Times New Roman"/>
          <w:sz w:val="22"/>
          <w:szCs w:val="22"/>
        </w:rPr>
        <w:t>.</w:t>
      </w:r>
      <w:r w:rsidRPr="00C9364C">
        <w:rPr>
          <w:rFonts w:ascii="Times New Roman" w:hAnsi="Times New Roman" w:cs="Times New Roman"/>
          <w:b/>
          <w:bCs/>
          <w:sz w:val="22"/>
          <w:szCs w:val="22"/>
        </w:rPr>
        <w:t xml:space="preserve"> </w:t>
      </w:r>
      <w:r w:rsidRPr="00C9364C">
        <w:rPr>
          <w:rFonts w:ascii="Times New Roman" w:hAnsi="Times New Roman" w:cs="Times New Roman"/>
          <w:sz w:val="22"/>
          <w:szCs w:val="22"/>
        </w:rPr>
        <w:t>Právna úprava skutočností, ktoré zakladajú postavenie konečného užívateľa výhod platná v SR (</w:t>
      </w:r>
      <w:proofErr w:type="spellStart"/>
      <w:r w:rsidRPr="00C9364C">
        <w:rPr>
          <w:rFonts w:ascii="Times New Roman" w:hAnsi="Times New Roman" w:cs="Times New Roman"/>
          <w:sz w:val="22"/>
          <w:szCs w:val="22"/>
        </w:rPr>
        <w:t>t.j</w:t>
      </w:r>
      <w:proofErr w:type="spellEnd"/>
      <w:r w:rsidRPr="00C9364C">
        <w:rPr>
          <w:rFonts w:ascii="Times New Roman" w:hAnsi="Times New Roman" w:cs="Times New Roman"/>
          <w:sz w:val="22"/>
          <w:szCs w:val="22"/>
        </w:rPr>
        <w:t>. zákon o AML) vychádza z platnej legislatívy Európskej únie</w:t>
      </w:r>
      <w:r w:rsidRPr="00C9364C">
        <w:rPr>
          <w:rStyle w:val="Odkaznapoznmkupodiarou"/>
          <w:rFonts w:ascii="Times New Roman" w:hAnsi="Times New Roman" w:cs="Times New Roman"/>
          <w:sz w:val="22"/>
          <w:szCs w:val="22"/>
        </w:rPr>
        <w:footnoteReference w:id="4"/>
      </w:r>
      <w:r w:rsidRPr="00C9364C">
        <w:rPr>
          <w:rFonts w:ascii="Times New Roman" w:hAnsi="Times New Roman" w:cs="Times New Roman"/>
          <w:sz w:val="22"/>
          <w:szCs w:val="22"/>
        </w:rPr>
        <w:t>, ktorá problematiku boja proti legalizácií príjmov z trestnej činnosti a financovaniu terorizmu upravuje.</w:t>
      </w:r>
    </w:p>
    <w:p w14:paraId="1EEA4346" w14:textId="77777777" w:rsidR="00C9364C" w:rsidRPr="00C9364C" w:rsidRDefault="00C9364C" w:rsidP="00DF5486">
      <w:pPr>
        <w:spacing w:line="269" w:lineRule="auto"/>
        <w:jc w:val="both"/>
        <w:rPr>
          <w:rFonts w:ascii="Times New Roman" w:hAnsi="Times New Roman" w:cs="Times New Roman"/>
          <w:sz w:val="22"/>
          <w:szCs w:val="22"/>
        </w:rPr>
      </w:pPr>
    </w:p>
    <w:p w14:paraId="1C2390E6" w14:textId="77777777" w:rsidR="00C9364C" w:rsidRPr="00C9364C" w:rsidRDefault="00C9364C" w:rsidP="00DF5486">
      <w:pPr>
        <w:spacing w:line="269" w:lineRule="auto"/>
        <w:jc w:val="both"/>
        <w:rPr>
          <w:rFonts w:ascii="Times New Roman" w:hAnsi="Times New Roman" w:cs="Times New Roman"/>
          <w:i/>
          <w:iCs/>
          <w:sz w:val="22"/>
          <w:szCs w:val="22"/>
        </w:rPr>
      </w:pPr>
      <w:r w:rsidRPr="00C9364C">
        <w:rPr>
          <w:rFonts w:ascii="Times New Roman" w:hAnsi="Times New Roman" w:cs="Times New Roman"/>
          <w:sz w:val="22"/>
          <w:szCs w:val="22"/>
        </w:rPr>
        <w:t xml:space="preserve">Základom slovenskej právnej úpravy KÚV je tak európska legislatíva proti praniu špinavých peňazí a financovaniu terorizmu. Zároveň platí, že </w:t>
      </w:r>
      <w:r w:rsidRPr="00C9364C">
        <w:rPr>
          <w:rFonts w:ascii="Times New Roman" w:hAnsi="Times New Roman" w:cs="Times New Roman"/>
          <w:i/>
          <w:iCs/>
          <w:sz w:val="22"/>
          <w:szCs w:val="22"/>
        </w:rPr>
        <w:t>„z dôvodu vysokého stupňa harmonizácie tejto oblasti práva EÚ je však v prípade aplikačných problémov týkajúcich sa registra PVS potrebné prihliadnuť na interpretáciu príslušných ustanovení Smernice.“</w:t>
      </w:r>
      <w:r w:rsidRPr="00C9364C">
        <w:rPr>
          <w:rStyle w:val="Odkaznapoznmkupodiarou"/>
          <w:rFonts w:ascii="Times New Roman" w:hAnsi="Times New Roman" w:cs="Times New Roman"/>
          <w:i/>
          <w:iCs/>
          <w:sz w:val="22"/>
          <w:szCs w:val="22"/>
        </w:rPr>
        <w:footnoteReference w:id="5"/>
      </w:r>
    </w:p>
    <w:p w14:paraId="1B7A9170" w14:textId="77777777" w:rsidR="00C9364C" w:rsidRPr="00C9364C" w:rsidRDefault="00C9364C" w:rsidP="00DF5486">
      <w:pPr>
        <w:spacing w:line="269" w:lineRule="auto"/>
        <w:jc w:val="both"/>
        <w:rPr>
          <w:rFonts w:ascii="Times New Roman" w:hAnsi="Times New Roman" w:cs="Times New Roman"/>
          <w:b/>
          <w:bCs/>
          <w:sz w:val="22"/>
          <w:szCs w:val="22"/>
        </w:rPr>
      </w:pPr>
    </w:p>
    <w:p w14:paraId="482A2CE9" w14:textId="77777777" w:rsidR="00C9364C" w:rsidRPr="00C9364C" w:rsidRDefault="00C9364C" w:rsidP="00DF5486">
      <w:pPr>
        <w:spacing w:line="269" w:lineRule="auto"/>
        <w:jc w:val="both"/>
        <w:rPr>
          <w:rFonts w:ascii="Times New Roman" w:hAnsi="Times New Roman" w:cs="Times New Roman"/>
          <w:b/>
          <w:bCs/>
          <w:i/>
          <w:iCs/>
          <w:sz w:val="22"/>
          <w:szCs w:val="22"/>
        </w:rPr>
      </w:pPr>
      <w:r w:rsidRPr="00C9364C">
        <w:rPr>
          <w:rFonts w:ascii="Times New Roman" w:hAnsi="Times New Roman" w:cs="Times New Roman"/>
          <w:sz w:val="22"/>
          <w:szCs w:val="22"/>
        </w:rPr>
        <w:t>Na tomto mieste si dovoľujeme dať do pozornosti, že Súdny dvor Európskej únie (ďalej ako „</w:t>
      </w:r>
      <w:r w:rsidRPr="00C9364C">
        <w:rPr>
          <w:rFonts w:ascii="Times New Roman" w:hAnsi="Times New Roman" w:cs="Times New Roman"/>
          <w:b/>
          <w:bCs/>
          <w:i/>
          <w:iCs/>
          <w:sz w:val="22"/>
          <w:szCs w:val="22"/>
        </w:rPr>
        <w:t>SDEÚ</w:t>
      </w:r>
      <w:r w:rsidRPr="00C9364C">
        <w:rPr>
          <w:rFonts w:ascii="Times New Roman" w:hAnsi="Times New Roman" w:cs="Times New Roman"/>
          <w:sz w:val="22"/>
          <w:szCs w:val="22"/>
        </w:rPr>
        <w:t>“) vo svojom rozsudku v spojených veciach C-37/20 a C-601/20 zo dňa 22.novembra 2022 (ďalej ako „</w:t>
      </w:r>
      <w:r w:rsidRPr="00C9364C">
        <w:rPr>
          <w:rFonts w:ascii="Times New Roman" w:hAnsi="Times New Roman" w:cs="Times New Roman"/>
          <w:b/>
          <w:bCs/>
          <w:i/>
          <w:iCs/>
          <w:sz w:val="22"/>
          <w:szCs w:val="22"/>
        </w:rPr>
        <w:t>Rozsudok SDEÚ</w:t>
      </w:r>
      <w:r w:rsidRPr="00C9364C">
        <w:rPr>
          <w:rFonts w:ascii="Times New Roman" w:hAnsi="Times New Roman" w:cs="Times New Roman"/>
          <w:sz w:val="22"/>
          <w:szCs w:val="22"/>
        </w:rPr>
        <w:t xml:space="preserve">“) podrobil prieskumu Smernicu EP a Rady (EÚ) 2015/849 a riešil otázku, či prístup </w:t>
      </w:r>
      <w:r w:rsidRPr="00C9364C">
        <w:rPr>
          <w:rFonts w:ascii="Times New Roman" w:hAnsi="Times New Roman" w:cs="Times New Roman"/>
          <w:sz w:val="22"/>
          <w:szCs w:val="22"/>
        </w:rPr>
        <w:lastRenderedPageBreak/>
        <w:t>širokej verejnosti k niektorým údajom nachádzajúcim sa v registroch konečných užívateľov výhod je zlučiteľný s Chartou základný práv Európskej únie (ďalej len ako „</w:t>
      </w:r>
      <w:r w:rsidRPr="00C9364C">
        <w:rPr>
          <w:rFonts w:ascii="Times New Roman" w:hAnsi="Times New Roman" w:cs="Times New Roman"/>
          <w:b/>
          <w:bCs/>
          <w:i/>
          <w:iCs/>
          <w:sz w:val="22"/>
          <w:szCs w:val="22"/>
        </w:rPr>
        <w:t>Charta</w:t>
      </w:r>
      <w:r w:rsidRPr="00C9364C">
        <w:rPr>
          <w:rFonts w:ascii="Times New Roman" w:hAnsi="Times New Roman" w:cs="Times New Roman"/>
          <w:sz w:val="22"/>
          <w:szCs w:val="22"/>
        </w:rPr>
        <w:t xml:space="preserve">“), ako aj so všeobecným nariadením o ochrane údajov. SDEÚ </w:t>
      </w:r>
      <w:proofErr w:type="spellStart"/>
      <w:r w:rsidRPr="00C9364C">
        <w:rPr>
          <w:rFonts w:ascii="Times New Roman" w:hAnsi="Times New Roman" w:cs="Times New Roman"/>
          <w:sz w:val="22"/>
          <w:szCs w:val="22"/>
        </w:rPr>
        <w:t>expresiss</w:t>
      </w:r>
      <w:proofErr w:type="spellEnd"/>
      <w:r w:rsidRPr="00C9364C">
        <w:rPr>
          <w:rFonts w:ascii="Times New Roman" w:hAnsi="Times New Roman" w:cs="Times New Roman"/>
          <w:sz w:val="22"/>
          <w:szCs w:val="22"/>
        </w:rPr>
        <w:t xml:space="preserve"> verbis uviedol, že </w:t>
      </w:r>
      <w:r w:rsidRPr="00C9364C">
        <w:rPr>
          <w:rFonts w:ascii="Times New Roman" w:hAnsi="Times New Roman" w:cs="Times New Roman"/>
          <w:i/>
          <w:iCs/>
          <w:sz w:val="22"/>
          <w:szCs w:val="22"/>
        </w:rPr>
        <w:t>„</w:t>
      </w:r>
      <w:r w:rsidRPr="00C9364C">
        <w:rPr>
          <w:rFonts w:ascii="Times New Roman" w:hAnsi="Times New Roman" w:cs="Times New Roman"/>
          <w:b/>
          <w:bCs/>
          <w:i/>
          <w:iCs/>
          <w:sz w:val="22"/>
          <w:szCs w:val="22"/>
        </w:rPr>
        <w:t xml:space="preserve">prístup širokej verejnosti k informáciám o KÚV predstavuje závažný </w:t>
      </w:r>
      <w:r w:rsidRPr="00C9364C">
        <w:rPr>
          <w:rFonts w:ascii="Times New Roman" w:hAnsi="Times New Roman" w:cs="Times New Roman"/>
          <w:b/>
          <w:bCs/>
          <w:i/>
          <w:iCs/>
          <w:sz w:val="22"/>
          <w:szCs w:val="22"/>
          <w:u w:val="single"/>
        </w:rPr>
        <w:t>zásah do základných práv na súkromný život a ochranu osobných údajov, ktoré sú zakotvené v článkoch 7 a 8 Charty</w:t>
      </w:r>
      <w:r w:rsidRPr="00C9364C">
        <w:rPr>
          <w:rFonts w:ascii="Times New Roman" w:hAnsi="Times New Roman" w:cs="Times New Roman"/>
          <w:b/>
          <w:bCs/>
          <w:i/>
          <w:iCs/>
          <w:sz w:val="22"/>
          <w:szCs w:val="22"/>
        </w:rPr>
        <w:t>“.</w:t>
      </w:r>
    </w:p>
    <w:p w14:paraId="1509BB77" w14:textId="77777777" w:rsidR="00C9364C" w:rsidRPr="00C9364C" w:rsidRDefault="00C9364C" w:rsidP="00DF5486">
      <w:pPr>
        <w:spacing w:line="269" w:lineRule="auto"/>
        <w:jc w:val="both"/>
        <w:rPr>
          <w:rFonts w:ascii="Times New Roman" w:hAnsi="Times New Roman" w:cs="Times New Roman"/>
          <w:b/>
          <w:bCs/>
          <w:i/>
          <w:iCs/>
          <w:sz w:val="22"/>
          <w:szCs w:val="22"/>
        </w:rPr>
      </w:pPr>
    </w:p>
    <w:p w14:paraId="31698F62" w14:textId="77777777" w:rsidR="00C9364C" w:rsidRPr="00C9364C" w:rsidRDefault="00C9364C" w:rsidP="00DF5486">
      <w:pPr>
        <w:spacing w:line="269" w:lineRule="auto"/>
        <w:jc w:val="both"/>
        <w:rPr>
          <w:rFonts w:ascii="Times New Roman" w:hAnsi="Times New Roman" w:cs="Times New Roman"/>
          <w:b/>
          <w:bCs/>
          <w:sz w:val="22"/>
          <w:szCs w:val="22"/>
        </w:rPr>
      </w:pPr>
      <w:r w:rsidRPr="00C9364C">
        <w:rPr>
          <w:rFonts w:ascii="Times New Roman" w:hAnsi="Times New Roman" w:cs="Times New Roman"/>
          <w:b/>
          <w:bCs/>
          <w:sz w:val="22"/>
          <w:szCs w:val="22"/>
        </w:rPr>
        <w:t>SDEÚ</w:t>
      </w:r>
      <w:r w:rsidRPr="00C9364C">
        <w:rPr>
          <w:rFonts w:ascii="Times New Roman" w:hAnsi="Times New Roman" w:cs="Times New Roman"/>
          <w:b/>
          <w:bCs/>
          <w:i/>
          <w:iCs/>
          <w:sz w:val="22"/>
          <w:szCs w:val="22"/>
        </w:rPr>
        <w:t xml:space="preserve"> </w:t>
      </w:r>
      <w:r w:rsidRPr="00C9364C">
        <w:rPr>
          <w:rFonts w:ascii="Times New Roman" w:hAnsi="Times New Roman" w:cs="Times New Roman"/>
          <w:b/>
          <w:bCs/>
          <w:sz w:val="22"/>
          <w:szCs w:val="22"/>
        </w:rPr>
        <w:t xml:space="preserve">hneď v niekoľkých bodoch tohto Rozsudku explicitne konštatoval neexistenciu proporcionality medzi plošným a nekontrolovateľným prístupom širokej verejnosti k zapisovaným údajom  KÚV v registroch (teda k zásahu do práva na súkromie a ochranu osobných údajov) na jednej strane a sledovaným cieľom všeobecného záujmu na druhej strane. Treba zdôrazniť, že práve </w:t>
      </w:r>
      <w:r w:rsidRPr="00C9364C">
        <w:rPr>
          <w:rFonts w:ascii="Times New Roman" w:hAnsi="Times New Roman" w:cs="Times New Roman"/>
          <w:b/>
          <w:bCs/>
          <w:sz w:val="22"/>
          <w:szCs w:val="22"/>
          <w:u w:val="single"/>
        </w:rPr>
        <w:t>vyváženosť a proporcionalita</w:t>
      </w:r>
      <w:r w:rsidRPr="00C9364C">
        <w:rPr>
          <w:rFonts w:ascii="Times New Roman" w:hAnsi="Times New Roman" w:cs="Times New Roman"/>
          <w:b/>
          <w:bCs/>
          <w:sz w:val="22"/>
          <w:szCs w:val="22"/>
        </w:rPr>
        <w:t xml:space="preserve"> je esenciálnou podmienkou každého zásahu do práva na súkromie jednotlivca. </w:t>
      </w:r>
    </w:p>
    <w:p w14:paraId="39AE838F" w14:textId="77777777" w:rsidR="00C9364C" w:rsidRPr="00C9364C" w:rsidRDefault="00C9364C" w:rsidP="00DF5486">
      <w:pPr>
        <w:spacing w:line="269" w:lineRule="auto"/>
        <w:jc w:val="both"/>
        <w:rPr>
          <w:rFonts w:ascii="Times New Roman" w:hAnsi="Times New Roman" w:cs="Times New Roman"/>
          <w:b/>
          <w:bCs/>
          <w:sz w:val="22"/>
          <w:szCs w:val="22"/>
        </w:rPr>
      </w:pPr>
    </w:p>
    <w:p w14:paraId="76F9E06F" w14:textId="77777777" w:rsidR="00C9364C" w:rsidRPr="00C9364C" w:rsidRDefault="00C9364C" w:rsidP="00DF5486">
      <w:pPr>
        <w:spacing w:line="269" w:lineRule="auto"/>
        <w:jc w:val="both"/>
        <w:rPr>
          <w:rFonts w:ascii="Times New Roman" w:hAnsi="Times New Roman" w:cs="Times New Roman"/>
          <w:b/>
          <w:bCs/>
          <w:sz w:val="22"/>
          <w:szCs w:val="22"/>
        </w:rPr>
      </w:pPr>
      <w:r w:rsidRPr="00C9364C">
        <w:rPr>
          <w:rFonts w:ascii="Times New Roman" w:hAnsi="Times New Roman" w:cs="Times New Roman"/>
          <w:sz w:val="22"/>
          <w:szCs w:val="22"/>
        </w:rPr>
        <w:t xml:space="preserve">Podľa SDEÚ všeobecný záujem definovaný ako „boj proti praniu špinavých peňazí a financovaniu terorizmu“ je predovšetkým záležitosťou (a bojom) orgánov činných v trestnom konaní a ďalších orgánov verejnej moci na to určených (najmä finančné či úverové inštitúcie), čomu musí zodpovedať aj striktná regulácia podmienok zásahu do súkromia jednotlivca širokou verejnosťou. </w:t>
      </w:r>
    </w:p>
    <w:p w14:paraId="6B23FA35" w14:textId="77777777" w:rsidR="00C9364C" w:rsidRPr="00C9364C" w:rsidRDefault="00C9364C" w:rsidP="00DF5486">
      <w:pPr>
        <w:spacing w:line="269" w:lineRule="auto"/>
        <w:jc w:val="both"/>
        <w:rPr>
          <w:rFonts w:ascii="Times New Roman" w:hAnsi="Times New Roman" w:cs="Times New Roman"/>
          <w:sz w:val="22"/>
          <w:szCs w:val="22"/>
        </w:rPr>
      </w:pPr>
    </w:p>
    <w:p w14:paraId="5E42B512" w14:textId="77777777" w:rsidR="00C9364C" w:rsidRPr="00C9364C" w:rsidRDefault="00C9364C" w:rsidP="00DF5486">
      <w:pPr>
        <w:spacing w:line="269" w:lineRule="auto"/>
        <w:jc w:val="both"/>
        <w:rPr>
          <w:rFonts w:ascii="Times New Roman" w:hAnsi="Times New Roman" w:cs="Times New Roman"/>
          <w:sz w:val="22"/>
          <w:szCs w:val="22"/>
        </w:rPr>
      </w:pPr>
      <w:r w:rsidRPr="00C9364C">
        <w:rPr>
          <w:rFonts w:ascii="Times New Roman" w:hAnsi="Times New Roman" w:cs="Times New Roman"/>
          <w:sz w:val="22"/>
          <w:szCs w:val="22"/>
        </w:rPr>
        <w:t xml:space="preserve">Možno sa len stotožniť s názorom SDEÚ, že </w:t>
      </w:r>
      <w:r w:rsidRPr="00C9364C">
        <w:rPr>
          <w:rFonts w:ascii="Times New Roman" w:hAnsi="Times New Roman" w:cs="Times New Roman"/>
          <w:b/>
          <w:bCs/>
          <w:sz w:val="22"/>
          <w:szCs w:val="22"/>
        </w:rPr>
        <w:t>cieľ všeobecného záujmu nemožno sledovať bez zosúladenia so základnými právami,</w:t>
      </w:r>
      <w:r w:rsidRPr="00C9364C">
        <w:rPr>
          <w:rFonts w:ascii="Times New Roman" w:hAnsi="Times New Roman" w:cs="Times New Roman"/>
          <w:sz w:val="22"/>
          <w:szCs w:val="22"/>
        </w:rPr>
        <w:t xml:space="preserve"> ktorých sa týka, a to náležitým vyvážením cieľa všeobecného záujmu a dotknutých práv, aby sa zabezpečilo, že nepríjemnosti spôsobené týmto zásahom (opatrením) nebudú neprimerané vo vzťahu k sledovaným cieľom (bod 64 Rozsudku SDEÚ).</w:t>
      </w:r>
    </w:p>
    <w:p w14:paraId="40294A15" w14:textId="77777777" w:rsidR="00C9364C" w:rsidRPr="00C9364C" w:rsidRDefault="00C9364C" w:rsidP="00DF5486">
      <w:pPr>
        <w:spacing w:line="269" w:lineRule="auto"/>
        <w:jc w:val="both"/>
        <w:rPr>
          <w:rFonts w:ascii="Times New Roman" w:hAnsi="Times New Roman" w:cs="Times New Roman"/>
          <w:b/>
          <w:bCs/>
          <w:sz w:val="22"/>
          <w:szCs w:val="22"/>
        </w:rPr>
      </w:pPr>
    </w:p>
    <w:p w14:paraId="0B0BD99B" w14:textId="77777777" w:rsidR="00C9364C" w:rsidRPr="00C9364C" w:rsidRDefault="00C9364C" w:rsidP="00DF5486">
      <w:pPr>
        <w:spacing w:line="269" w:lineRule="auto"/>
        <w:jc w:val="both"/>
        <w:rPr>
          <w:rFonts w:ascii="Times New Roman" w:hAnsi="Times New Roman" w:cs="Times New Roman"/>
          <w:b/>
          <w:bCs/>
          <w:sz w:val="22"/>
          <w:szCs w:val="22"/>
        </w:rPr>
      </w:pPr>
      <w:r w:rsidRPr="00C9364C">
        <w:rPr>
          <w:rFonts w:ascii="Times New Roman" w:hAnsi="Times New Roman" w:cs="Times New Roman"/>
          <w:b/>
          <w:bCs/>
          <w:sz w:val="22"/>
          <w:szCs w:val="22"/>
        </w:rPr>
        <w:t>Máme za to, že poskytovaním verejného prístupu k totožnosti a osobným údajom našich osôb ako KÚV PVS v RPVS dochádza k závažnému zásahu do nášho práva na ochranu súkromného a rodinného života, ako aj práva na ochranu osobných údajov, ktorých ochrana nám je  zaručená v článkoch 7 a 8 Charty základných práv Európskej únie.</w:t>
      </w:r>
    </w:p>
    <w:p w14:paraId="60A7B7D8" w14:textId="77777777" w:rsidR="00C9364C" w:rsidRPr="00C9364C" w:rsidRDefault="00C9364C" w:rsidP="00DF5486">
      <w:pPr>
        <w:spacing w:line="269" w:lineRule="auto"/>
        <w:jc w:val="both"/>
        <w:rPr>
          <w:rFonts w:ascii="Times New Roman" w:hAnsi="Times New Roman" w:cs="Times New Roman"/>
          <w:b/>
          <w:bCs/>
          <w:sz w:val="22"/>
          <w:szCs w:val="22"/>
        </w:rPr>
      </w:pPr>
    </w:p>
    <w:p w14:paraId="1D44BD93" w14:textId="5E1BD68A" w:rsidR="00C9364C" w:rsidRPr="00CA2AF7" w:rsidRDefault="00C9364C" w:rsidP="00DF5486">
      <w:pPr>
        <w:spacing w:line="269" w:lineRule="auto"/>
        <w:jc w:val="both"/>
        <w:rPr>
          <w:rFonts w:ascii="Times New Roman" w:hAnsi="Times New Roman" w:cs="Times New Roman"/>
          <w:b/>
          <w:bCs/>
          <w:sz w:val="22"/>
          <w:szCs w:val="22"/>
        </w:rPr>
      </w:pPr>
      <w:r w:rsidRPr="00824D40">
        <w:rPr>
          <w:rFonts w:ascii="Times New Roman" w:hAnsi="Times New Roman" w:cs="Times New Roman"/>
          <w:sz w:val="22"/>
          <w:szCs w:val="22"/>
        </w:rPr>
        <w:t xml:space="preserve">Zároveň s poukazom na článok 7 ods. 2 Ústavy Slovenskej republiky majú právne záväzné akty Európskych spoločenstiev a Európskej únie </w:t>
      </w:r>
      <w:r w:rsidRPr="00CA2AF7">
        <w:rPr>
          <w:rFonts w:ascii="Times New Roman" w:hAnsi="Times New Roman" w:cs="Times New Roman"/>
          <w:b/>
          <w:bCs/>
          <w:sz w:val="22"/>
          <w:szCs w:val="22"/>
        </w:rPr>
        <w:t>prednosť pred zákonmi Slovenskej republiky</w:t>
      </w:r>
      <w:r w:rsidRPr="00824D40">
        <w:rPr>
          <w:rFonts w:ascii="Times New Roman" w:hAnsi="Times New Roman" w:cs="Times New Roman"/>
          <w:sz w:val="22"/>
          <w:szCs w:val="22"/>
        </w:rPr>
        <w:t xml:space="preserve">. </w:t>
      </w:r>
      <w:r w:rsidR="005F3EE4" w:rsidRPr="00824D40">
        <w:rPr>
          <w:rFonts w:ascii="Times New Roman" w:hAnsi="Times New Roman" w:cs="Times New Roman"/>
          <w:sz w:val="22"/>
          <w:szCs w:val="22"/>
        </w:rPr>
        <w:t>Naviac p</w:t>
      </w:r>
      <w:r w:rsidRPr="00824D40">
        <w:rPr>
          <w:rFonts w:ascii="Times New Roman" w:hAnsi="Times New Roman" w:cs="Times New Roman"/>
          <w:sz w:val="22"/>
          <w:szCs w:val="22"/>
        </w:rPr>
        <w:t xml:space="preserve">odľa článku 7 ods. 5 Ústavy Slovenskej republiky majú </w:t>
      </w:r>
      <w:r w:rsidR="005F3EE4" w:rsidRPr="00824D40">
        <w:rPr>
          <w:rFonts w:ascii="Times New Roman" w:hAnsi="Times New Roman" w:cs="Times New Roman"/>
          <w:sz w:val="22"/>
          <w:szCs w:val="22"/>
          <w:shd w:val="clear" w:color="auto" w:fill="FFFFFF"/>
        </w:rPr>
        <w:t xml:space="preserve">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w:t>
      </w:r>
      <w:r w:rsidR="00824D40" w:rsidRPr="00CA2AF7">
        <w:rPr>
          <w:rFonts w:ascii="Times New Roman" w:hAnsi="Times New Roman" w:cs="Times New Roman"/>
          <w:b/>
          <w:bCs/>
          <w:sz w:val="22"/>
          <w:szCs w:val="22"/>
          <w:shd w:val="clear" w:color="auto" w:fill="FFFFFF"/>
        </w:rPr>
        <w:t xml:space="preserve">prednosť </w:t>
      </w:r>
      <w:r w:rsidRPr="00CA2AF7">
        <w:rPr>
          <w:rFonts w:ascii="Times New Roman" w:hAnsi="Times New Roman" w:cs="Times New Roman"/>
          <w:b/>
          <w:bCs/>
          <w:sz w:val="22"/>
          <w:szCs w:val="22"/>
        </w:rPr>
        <w:t>pred zákonmi Slovenskej republiky.</w:t>
      </w:r>
    </w:p>
    <w:p w14:paraId="71297DA7" w14:textId="77777777" w:rsidR="00C9364C" w:rsidRPr="00824D40" w:rsidRDefault="00C9364C" w:rsidP="00DF5486">
      <w:pPr>
        <w:spacing w:line="269" w:lineRule="auto"/>
        <w:jc w:val="both"/>
        <w:rPr>
          <w:rFonts w:ascii="Times New Roman" w:hAnsi="Times New Roman" w:cs="Times New Roman"/>
          <w:sz w:val="22"/>
          <w:szCs w:val="22"/>
        </w:rPr>
      </w:pPr>
    </w:p>
    <w:p w14:paraId="5FC653EC" w14:textId="77777777" w:rsidR="00C9364C" w:rsidRPr="00C9364C" w:rsidRDefault="00C9364C" w:rsidP="00DF5486">
      <w:pPr>
        <w:spacing w:line="269" w:lineRule="auto"/>
        <w:jc w:val="both"/>
        <w:rPr>
          <w:rFonts w:ascii="Times New Roman" w:hAnsi="Times New Roman" w:cs="Times New Roman"/>
          <w:sz w:val="22"/>
          <w:szCs w:val="22"/>
          <w:shd w:val="clear" w:color="auto" w:fill="FFFFFF"/>
        </w:rPr>
      </w:pPr>
      <w:r w:rsidRPr="00C9364C">
        <w:rPr>
          <w:rFonts w:ascii="Times New Roman" w:hAnsi="Times New Roman" w:cs="Times New Roman"/>
          <w:sz w:val="22"/>
          <w:szCs w:val="22"/>
          <w:shd w:val="clear" w:color="auto" w:fill="FFFFFF"/>
        </w:rPr>
        <w:t>Charta základných práv EÚ ako súčasť primárneho práva Európskej únie tak predstavuje právne záväzný katalóg základných práv Európskej únie s rovnakou právnou silou ako zakladajúce zmluvy.</w:t>
      </w:r>
      <w:r w:rsidRPr="00C9364C">
        <w:rPr>
          <w:rStyle w:val="Odkaznapoznmkupodiarou"/>
          <w:rFonts w:ascii="Times New Roman" w:hAnsi="Times New Roman" w:cs="Times New Roman"/>
          <w:sz w:val="22"/>
          <w:szCs w:val="22"/>
        </w:rPr>
        <w:footnoteReference w:id="6"/>
      </w:r>
      <w:r w:rsidRPr="00C9364C">
        <w:rPr>
          <w:rFonts w:ascii="Times New Roman" w:hAnsi="Times New Roman" w:cs="Times New Roman"/>
          <w:sz w:val="22"/>
          <w:szCs w:val="22"/>
          <w:shd w:val="clear" w:color="auto" w:fill="FFFFFF"/>
        </w:rPr>
        <w:t xml:space="preserve"> V</w:t>
      </w:r>
      <w:r w:rsidRPr="00C9364C">
        <w:rPr>
          <w:rFonts w:ascii="Times New Roman" w:hAnsi="Times New Roman" w:cs="Times New Roman"/>
          <w:sz w:val="22"/>
          <w:szCs w:val="22"/>
        </w:rPr>
        <w:t xml:space="preserve">nútroštátne právo členského štátu sa teda musí vykladať v súlade s Chartou, ktorá je základom a testom pre preskúmanie ústavnosti a zákonnosti právnych aktov ako aj rozhodnutí a opatrení vnútroštátnych orgánov. Ak právne akty, iné rozhodnutia a opatrenia nie sú v súlade s Chartou, tak sa nesmú použiť a musia zostať neaplikované bez ohľadu na to, či sú ešte stále platné a účinné. </w:t>
      </w:r>
    </w:p>
    <w:p w14:paraId="568E6012" w14:textId="77777777" w:rsidR="00C9364C" w:rsidRPr="00C9364C" w:rsidRDefault="00C9364C" w:rsidP="00DF5486">
      <w:pPr>
        <w:spacing w:line="269" w:lineRule="auto"/>
        <w:jc w:val="both"/>
        <w:rPr>
          <w:rFonts w:ascii="Times New Roman" w:hAnsi="Times New Roman" w:cs="Times New Roman"/>
          <w:b/>
          <w:bCs/>
          <w:sz w:val="22"/>
          <w:szCs w:val="22"/>
        </w:rPr>
      </w:pPr>
    </w:p>
    <w:p w14:paraId="2F087C7D" w14:textId="77777777" w:rsidR="00C9364C" w:rsidRPr="00C9364C" w:rsidRDefault="00C9364C" w:rsidP="00DF5486">
      <w:pPr>
        <w:spacing w:line="269" w:lineRule="auto"/>
        <w:jc w:val="both"/>
        <w:rPr>
          <w:rFonts w:ascii="Times New Roman" w:hAnsi="Times New Roman" w:cs="Times New Roman"/>
          <w:sz w:val="22"/>
          <w:szCs w:val="22"/>
        </w:rPr>
      </w:pPr>
      <w:r w:rsidRPr="00C9364C">
        <w:rPr>
          <w:rFonts w:ascii="Times New Roman" w:hAnsi="Times New Roman" w:cs="Times New Roman"/>
          <w:sz w:val="22"/>
          <w:szCs w:val="22"/>
        </w:rPr>
        <w:lastRenderedPageBreak/>
        <w:t xml:space="preserve">Keďže ustanovenia práva Únie sú bezprostredným zdrojom práv a povinností pre všetkých, ktorých sa týkajú, či už sa jedná o členské štáty alebo o jednotlivcov, </w:t>
      </w:r>
      <w:r w:rsidRPr="00C9364C">
        <w:rPr>
          <w:rFonts w:ascii="Times New Roman" w:hAnsi="Times New Roman" w:cs="Times New Roman"/>
          <w:b/>
          <w:bCs/>
          <w:sz w:val="22"/>
          <w:szCs w:val="22"/>
          <w:u w:val="single"/>
        </w:rPr>
        <w:t>vnútroštátne súdy sú ako orgány členských štátov v rámci svojich právomocí povinné chrániť práva, ktoré jednotlivcom priznáva právo Únie</w:t>
      </w:r>
      <w:r w:rsidRPr="00C9364C">
        <w:rPr>
          <w:rFonts w:ascii="Times New Roman" w:hAnsi="Times New Roman" w:cs="Times New Roman"/>
          <w:b/>
          <w:bCs/>
          <w:sz w:val="22"/>
          <w:szCs w:val="22"/>
        </w:rPr>
        <w:t>.</w:t>
      </w:r>
      <w:r w:rsidRPr="00C9364C">
        <w:rPr>
          <w:rStyle w:val="Odkaznapoznmkupodiarou"/>
          <w:rFonts w:ascii="Times New Roman" w:hAnsi="Times New Roman" w:cs="Times New Roman"/>
          <w:b/>
          <w:bCs/>
          <w:sz w:val="22"/>
          <w:szCs w:val="22"/>
        </w:rPr>
        <w:footnoteReference w:id="7"/>
      </w:r>
      <w:r w:rsidRPr="00C9364C">
        <w:rPr>
          <w:rFonts w:ascii="Times New Roman" w:hAnsi="Times New Roman" w:cs="Times New Roman"/>
          <w:sz w:val="22"/>
          <w:szCs w:val="22"/>
        </w:rPr>
        <w:t xml:space="preserve"> </w:t>
      </w:r>
      <w:r w:rsidRPr="00C9364C">
        <w:rPr>
          <w:rFonts w:ascii="Times New Roman" w:hAnsi="Times New Roman" w:cs="Times New Roman"/>
          <w:b/>
          <w:bCs/>
          <w:sz w:val="22"/>
          <w:szCs w:val="22"/>
        </w:rPr>
        <w:t xml:space="preserve">Členské štáty </w:t>
      </w:r>
      <w:r w:rsidRPr="00C9364C">
        <w:rPr>
          <w:rFonts w:ascii="Times New Roman" w:hAnsi="Times New Roman" w:cs="Times New Roman"/>
          <w:b/>
          <w:bCs/>
          <w:sz w:val="22"/>
          <w:szCs w:val="22"/>
          <w:u w:val="single"/>
        </w:rPr>
        <w:t>nesmú</w:t>
      </w:r>
      <w:r w:rsidRPr="00C9364C">
        <w:rPr>
          <w:rFonts w:ascii="Times New Roman" w:hAnsi="Times New Roman" w:cs="Times New Roman"/>
          <w:b/>
          <w:bCs/>
          <w:sz w:val="22"/>
          <w:szCs w:val="22"/>
        </w:rPr>
        <w:t xml:space="preserve"> priamo ani prostredníctvom nimi zriadených alebo uznaných orgánov porušiť alebo </w:t>
      </w:r>
      <w:r w:rsidRPr="00C9364C">
        <w:rPr>
          <w:rFonts w:ascii="Times New Roman" w:hAnsi="Times New Roman" w:cs="Times New Roman"/>
          <w:b/>
          <w:bCs/>
          <w:sz w:val="22"/>
          <w:szCs w:val="22"/>
          <w:u w:val="single"/>
        </w:rPr>
        <w:t>tolerovať porušenie práva Únie</w:t>
      </w:r>
      <w:r w:rsidRPr="00C9364C">
        <w:rPr>
          <w:rFonts w:ascii="Times New Roman" w:hAnsi="Times New Roman" w:cs="Times New Roman"/>
          <w:b/>
          <w:bCs/>
          <w:sz w:val="22"/>
          <w:szCs w:val="22"/>
        </w:rPr>
        <w:t xml:space="preserve"> alebo ohroziť jeho účinky.</w:t>
      </w:r>
      <w:r w:rsidRPr="00C9364C">
        <w:rPr>
          <w:rStyle w:val="Odkaznapoznmkupodiarou"/>
          <w:rFonts w:ascii="Times New Roman" w:hAnsi="Times New Roman" w:cs="Times New Roman"/>
          <w:b/>
          <w:bCs/>
          <w:sz w:val="22"/>
          <w:szCs w:val="22"/>
        </w:rPr>
        <w:footnoteReference w:id="8"/>
      </w:r>
      <w:r w:rsidRPr="00C9364C">
        <w:rPr>
          <w:rFonts w:ascii="Times New Roman" w:hAnsi="Times New Roman" w:cs="Times New Roman"/>
          <w:b/>
          <w:bCs/>
          <w:sz w:val="22"/>
          <w:szCs w:val="22"/>
        </w:rPr>
        <w:t xml:space="preserve"> Súd je povinný bezodkladne </w:t>
      </w:r>
      <w:r w:rsidRPr="00093DF3">
        <w:rPr>
          <w:rFonts w:ascii="Times New Roman" w:hAnsi="Times New Roman" w:cs="Times New Roman"/>
          <w:b/>
          <w:bCs/>
          <w:sz w:val="22"/>
          <w:szCs w:val="22"/>
          <w:u w:val="single"/>
        </w:rPr>
        <w:t>neaplikovať nezlučiteľné vnútroštátne ustanovenia</w:t>
      </w:r>
      <w:r w:rsidRPr="00C9364C">
        <w:rPr>
          <w:rFonts w:ascii="Times New Roman" w:hAnsi="Times New Roman" w:cs="Times New Roman"/>
          <w:b/>
          <w:bCs/>
          <w:sz w:val="22"/>
          <w:szCs w:val="22"/>
        </w:rPr>
        <w:t xml:space="preserve"> aj bez toho, aby požiadal alebo vyčkal na jeho predchádzajúcu legislatívnu úpravu, ktorou by sa mali uviesť do súladu s úniovým právom.</w:t>
      </w:r>
      <w:r w:rsidRPr="00C9364C">
        <w:rPr>
          <w:rStyle w:val="Odkaznapoznmkupodiarou"/>
          <w:rFonts w:ascii="Times New Roman" w:hAnsi="Times New Roman" w:cs="Times New Roman"/>
          <w:b/>
          <w:bCs/>
          <w:sz w:val="22"/>
          <w:szCs w:val="22"/>
        </w:rPr>
        <w:footnoteReference w:id="9"/>
      </w:r>
      <w:r w:rsidRPr="00C9364C">
        <w:rPr>
          <w:rFonts w:ascii="Times New Roman" w:hAnsi="Times New Roman" w:cs="Times New Roman"/>
          <w:sz w:val="22"/>
          <w:szCs w:val="22"/>
        </w:rPr>
        <w:t xml:space="preserve"> </w:t>
      </w:r>
    </w:p>
    <w:p w14:paraId="739C9B1A" w14:textId="6E427464" w:rsidR="00C9364C" w:rsidRDefault="00C9364C" w:rsidP="00DF5486">
      <w:pPr>
        <w:spacing w:line="269" w:lineRule="auto"/>
        <w:jc w:val="both"/>
        <w:rPr>
          <w:rFonts w:ascii="Times New Roman" w:hAnsi="Times New Roman" w:cs="Times New Roman"/>
          <w:sz w:val="22"/>
          <w:szCs w:val="22"/>
        </w:rPr>
      </w:pPr>
    </w:p>
    <w:p w14:paraId="50C34532" w14:textId="42F0BAF3" w:rsidR="00596276" w:rsidRDefault="007A28C0" w:rsidP="00DF5486">
      <w:pPr>
        <w:spacing w:line="269" w:lineRule="auto"/>
        <w:jc w:val="both"/>
        <w:rPr>
          <w:rFonts w:ascii="Times New Roman" w:hAnsi="Times New Roman" w:cs="Times New Roman"/>
          <w:sz w:val="22"/>
          <w:szCs w:val="22"/>
        </w:rPr>
      </w:pPr>
      <w:r>
        <w:rPr>
          <w:rFonts w:ascii="Times New Roman" w:hAnsi="Times New Roman" w:cs="Times New Roman"/>
          <w:sz w:val="22"/>
          <w:szCs w:val="22"/>
        </w:rPr>
        <w:t xml:space="preserve">Ministerstvo spravodlivosti Slovenskej republiky, ako aj </w:t>
      </w:r>
      <w:r w:rsidR="00190101">
        <w:rPr>
          <w:rFonts w:ascii="Times New Roman" w:hAnsi="Times New Roman" w:cs="Times New Roman"/>
          <w:sz w:val="22"/>
          <w:szCs w:val="22"/>
        </w:rPr>
        <w:t>Okresný súd Žilina, R</w:t>
      </w:r>
      <w:r w:rsidR="009E63AE">
        <w:rPr>
          <w:rFonts w:ascii="Times New Roman" w:hAnsi="Times New Roman" w:cs="Times New Roman"/>
          <w:sz w:val="22"/>
          <w:szCs w:val="22"/>
        </w:rPr>
        <w:t>egister partnerov verejného sektora</w:t>
      </w:r>
      <w:r>
        <w:rPr>
          <w:rFonts w:ascii="Times New Roman" w:hAnsi="Times New Roman" w:cs="Times New Roman"/>
          <w:sz w:val="22"/>
          <w:szCs w:val="22"/>
        </w:rPr>
        <w:t>, sú</w:t>
      </w:r>
      <w:r w:rsidR="00FF7C58">
        <w:rPr>
          <w:rFonts w:ascii="Times New Roman" w:hAnsi="Times New Roman" w:cs="Times New Roman"/>
          <w:sz w:val="22"/>
          <w:szCs w:val="22"/>
        </w:rPr>
        <w:t xml:space="preserve"> teda </w:t>
      </w:r>
      <w:r w:rsidR="0096107B">
        <w:rPr>
          <w:rFonts w:ascii="Times New Roman" w:hAnsi="Times New Roman" w:cs="Times New Roman"/>
          <w:sz w:val="22"/>
          <w:szCs w:val="22"/>
        </w:rPr>
        <w:t>povinn</w:t>
      </w:r>
      <w:r>
        <w:rPr>
          <w:rFonts w:ascii="Times New Roman" w:hAnsi="Times New Roman" w:cs="Times New Roman"/>
          <w:sz w:val="22"/>
          <w:szCs w:val="22"/>
        </w:rPr>
        <w:t>í</w:t>
      </w:r>
      <w:r w:rsidR="0096107B">
        <w:rPr>
          <w:rFonts w:ascii="Times New Roman" w:hAnsi="Times New Roman" w:cs="Times New Roman"/>
          <w:sz w:val="22"/>
          <w:szCs w:val="22"/>
        </w:rPr>
        <w:t xml:space="preserve"> uprednostniť</w:t>
      </w:r>
      <w:r w:rsidR="00FF7C58">
        <w:rPr>
          <w:rFonts w:ascii="Times New Roman" w:hAnsi="Times New Roman" w:cs="Times New Roman"/>
          <w:sz w:val="22"/>
          <w:szCs w:val="22"/>
        </w:rPr>
        <w:t xml:space="preserve"> priamu aplikáciu článkov 7 a 8 Charty v súlade s výkladom, ktorý </w:t>
      </w:r>
      <w:r w:rsidR="00BB10DD">
        <w:rPr>
          <w:rFonts w:ascii="Times New Roman" w:hAnsi="Times New Roman" w:cs="Times New Roman"/>
          <w:sz w:val="22"/>
          <w:szCs w:val="22"/>
        </w:rPr>
        <w:t xml:space="preserve">im poskytol </w:t>
      </w:r>
      <w:r w:rsidR="00190101">
        <w:rPr>
          <w:rFonts w:ascii="Times New Roman" w:hAnsi="Times New Roman" w:cs="Times New Roman"/>
          <w:sz w:val="22"/>
          <w:szCs w:val="22"/>
        </w:rPr>
        <w:t xml:space="preserve">Rozsudok </w:t>
      </w:r>
      <w:r w:rsidR="00BB10DD">
        <w:rPr>
          <w:rFonts w:ascii="Times New Roman" w:hAnsi="Times New Roman" w:cs="Times New Roman"/>
          <w:sz w:val="22"/>
          <w:szCs w:val="22"/>
        </w:rPr>
        <w:t>SDEÚ</w:t>
      </w:r>
      <w:r w:rsidR="00190101">
        <w:rPr>
          <w:rFonts w:ascii="Times New Roman" w:hAnsi="Times New Roman" w:cs="Times New Roman"/>
          <w:sz w:val="22"/>
          <w:szCs w:val="22"/>
        </w:rPr>
        <w:t>.</w:t>
      </w:r>
    </w:p>
    <w:p w14:paraId="1167A947" w14:textId="77777777" w:rsidR="00190101" w:rsidRPr="00C9364C" w:rsidRDefault="00190101" w:rsidP="00DF5486">
      <w:pPr>
        <w:spacing w:line="269" w:lineRule="auto"/>
        <w:jc w:val="both"/>
        <w:rPr>
          <w:rFonts w:ascii="Times New Roman" w:hAnsi="Times New Roman" w:cs="Times New Roman"/>
          <w:sz w:val="22"/>
          <w:szCs w:val="22"/>
        </w:rPr>
      </w:pPr>
    </w:p>
    <w:p w14:paraId="59F73086" w14:textId="7B848CF6" w:rsidR="00C9364C" w:rsidRPr="00C9364C" w:rsidRDefault="00C9364C" w:rsidP="00DF5486">
      <w:pPr>
        <w:spacing w:line="269" w:lineRule="auto"/>
        <w:jc w:val="both"/>
        <w:rPr>
          <w:rFonts w:ascii="Times New Roman" w:hAnsi="Times New Roman" w:cs="Times New Roman"/>
          <w:sz w:val="22"/>
          <w:szCs w:val="22"/>
        </w:rPr>
      </w:pPr>
      <w:r w:rsidRPr="00C9364C">
        <w:rPr>
          <w:rFonts w:ascii="Times New Roman" w:hAnsi="Times New Roman" w:cs="Times New Roman"/>
          <w:sz w:val="22"/>
          <w:szCs w:val="22"/>
        </w:rPr>
        <w:t>S poukazom na vyššie uvedené žiadam</w:t>
      </w:r>
      <w:r w:rsidR="005542C4">
        <w:rPr>
          <w:rFonts w:ascii="Times New Roman" w:hAnsi="Times New Roman" w:cs="Times New Roman"/>
          <w:sz w:val="22"/>
          <w:szCs w:val="22"/>
          <w:highlight w:val="yellow"/>
        </w:rPr>
        <w:t>/e</w:t>
      </w:r>
      <w:r w:rsidRPr="007526D6">
        <w:rPr>
          <w:rFonts w:ascii="Times New Roman" w:hAnsi="Times New Roman" w:cs="Times New Roman"/>
          <w:sz w:val="22"/>
          <w:szCs w:val="22"/>
          <w:highlight w:val="yellow"/>
        </w:rPr>
        <w:t>,</w:t>
      </w:r>
      <w:r w:rsidRPr="00C9364C">
        <w:rPr>
          <w:rFonts w:ascii="Times New Roman" w:hAnsi="Times New Roman" w:cs="Times New Roman"/>
          <w:sz w:val="22"/>
          <w:szCs w:val="22"/>
        </w:rPr>
        <w:t xml:space="preserve"> aby </w:t>
      </w:r>
      <w:r w:rsidR="007A28C0">
        <w:rPr>
          <w:rFonts w:ascii="Times New Roman" w:hAnsi="Times New Roman" w:cs="Times New Roman"/>
          <w:sz w:val="22"/>
          <w:szCs w:val="22"/>
        </w:rPr>
        <w:t>Ministerstvo spravodlivosti Slovenskej republiky ako správca a prevádzkovateľ informačného systému RPVS</w:t>
      </w:r>
      <w:r w:rsidR="0006390F">
        <w:rPr>
          <w:rStyle w:val="Odkaznapoznmkupodiarou"/>
          <w:rFonts w:ascii="Times New Roman" w:hAnsi="Times New Roman" w:cs="Times New Roman"/>
          <w:sz w:val="22"/>
          <w:szCs w:val="22"/>
        </w:rPr>
        <w:footnoteReference w:id="10"/>
      </w:r>
      <w:r w:rsidR="007A28C0">
        <w:rPr>
          <w:rFonts w:ascii="Times New Roman" w:hAnsi="Times New Roman" w:cs="Times New Roman"/>
          <w:sz w:val="22"/>
          <w:szCs w:val="22"/>
        </w:rPr>
        <w:t xml:space="preserve"> </w:t>
      </w:r>
      <w:r w:rsidRPr="00C9364C">
        <w:rPr>
          <w:rFonts w:ascii="Times New Roman" w:hAnsi="Times New Roman" w:cs="Times New Roman"/>
          <w:sz w:val="22"/>
          <w:szCs w:val="22"/>
        </w:rPr>
        <w:t xml:space="preserve">zabezpečil, aby </w:t>
      </w:r>
      <w:r w:rsidR="009F2F84" w:rsidRPr="00906D13">
        <w:rPr>
          <w:rFonts w:ascii="Times New Roman" w:hAnsi="Times New Roman" w:cs="Times New Roman"/>
          <w:sz w:val="22"/>
          <w:szCs w:val="22"/>
          <w:highlight w:val="yellow"/>
        </w:rPr>
        <w:t>moje</w:t>
      </w:r>
      <w:r w:rsidR="00906D13" w:rsidRPr="00906D13">
        <w:rPr>
          <w:rFonts w:ascii="Times New Roman" w:hAnsi="Times New Roman" w:cs="Times New Roman"/>
          <w:sz w:val="22"/>
          <w:szCs w:val="22"/>
          <w:highlight w:val="yellow"/>
        </w:rPr>
        <w:t>/naše</w:t>
      </w:r>
      <w:r w:rsidRPr="00C9364C">
        <w:rPr>
          <w:rFonts w:ascii="Times New Roman" w:hAnsi="Times New Roman" w:cs="Times New Roman"/>
          <w:sz w:val="22"/>
          <w:szCs w:val="22"/>
        </w:rPr>
        <w:t xml:space="preserve"> osobné údaje ako KÚV </w:t>
      </w:r>
      <w:r w:rsidR="00982822">
        <w:rPr>
          <w:rFonts w:ascii="Times New Roman" w:hAnsi="Times New Roman" w:cs="Times New Roman"/>
          <w:sz w:val="22"/>
          <w:szCs w:val="22"/>
        </w:rPr>
        <w:t>v PVS</w:t>
      </w:r>
      <w:r w:rsidRPr="00C9364C">
        <w:rPr>
          <w:rFonts w:ascii="Times New Roman" w:hAnsi="Times New Roman" w:cs="Times New Roman"/>
          <w:sz w:val="22"/>
          <w:szCs w:val="22"/>
        </w:rPr>
        <w:t xml:space="preserve"> v RPVS, neboli už ďalej sprístupňované širokej verejnosti, nakoľko verejnosť s ohľadom na zásadu proporcionality zásahu do práva na súkromie nemôže mať na ich sprístupnení legitímny záujem. </w:t>
      </w:r>
    </w:p>
    <w:p w14:paraId="7B0D7D16" w14:textId="77777777" w:rsidR="00C9364C" w:rsidRPr="00C9364C" w:rsidRDefault="00C9364C" w:rsidP="00DF5486">
      <w:pPr>
        <w:spacing w:line="269" w:lineRule="auto"/>
        <w:jc w:val="both"/>
        <w:rPr>
          <w:rFonts w:ascii="Times New Roman" w:hAnsi="Times New Roman" w:cs="Times New Roman"/>
          <w:sz w:val="22"/>
          <w:szCs w:val="22"/>
        </w:rPr>
      </w:pPr>
    </w:p>
    <w:p w14:paraId="4F84B139" w14:textId="4BAB6811" w:rsidR="00C9364C" w:rsidRPr="00C9364C" w:rsidRDefault="00C9364C" w:rsidP="00DF5486">
      <w:pPr>
        <w:spacing w:line="269" w:lineRule="auto"/>
        <w:jc w:val="both"/>
        <w:rPr>
          <w:rFonts w:ascii="Times New Roman" w:hAnsi="Times New Roman" w:cs="Times New Roman"/>
          <w:color w:val="4472C4" w:themeColor="accent1"/>
          <w:sz w:val="22"/>
          <w:szCs w:val="22"/>
        </w:rPr>
      </w:pPr>
      <w:r w:rsidRPr="00C9364C">
        <w:rPr>
          <w:rFonts w:ascii="Times New Roman" w:hAnsi="Times New Roman" w:cs="Times New Roman"/>
          <w:sz w:val="22"/>
          <w:szCs w:val="22"/>
        </w:rPr>
        <w:t xml:space="preserve">Zhodne s názorom SDEÚ </w:t>
      </w:r>
      <w:r w:rsidR="00906D13">
        <w:rPr>
          <w:rFonts w:ascii="Times New Roman" w:hAnsi="Times New Roman" w:cs="Times New Roman"/>
          <w:sz w:val="22"/>
          <w:szCs w:val="22"/>
        </w:rPr>
        <w:t>platí</w:t>
      </w:r>
      <w:r w:rsidRPr="00C9364C">
        <w:rPr>
          <w:rFonts w:ascii="Times New Roman" w:hAnsi="Times New Roman" w:cs="Times New Roman"/>
          <w:sz w:val="22"/>
          <w:szCs w:val="22"/>
        </w:rPr>
        <w:t>, že legitímny záujem na prístup k predmetným údajom môžu mať len orgány verejnej moci, ktorým táto právomoc vyplýva z osobitných a všeobecne záväzných právnych predpisov.  Zároveň v prípade nerešpektovania práva Únie, najmä článku 7 a 8 Charty</w:t>
      </w:r>
      <w:r w:rsidR="00FD660C">
        <w:rPr>
          <w:rFonts w:ascii="Times New Roman" w:hAnsi="Times New Roman" w:cs="Times New Roman"/>
          <w:sz w:val="22"/>
          <w:szCs w:val="22"/>
        </w:rPr>
        <w:t>,</w:t>
      </w:r>
      <w:r w:rsidRPr="00C9364C">
        <w:rPr>
          <w:rFonts w:ascii="Times New Roman" w:hAnsi="Times New Roman" w:cs="Times New Roman"/>
          <w:sz w:val="22"/>
          <w:szCs w:val="22"/>
        </w:rPr>
        <w:t xml:space="preserve"> bude naďalej pretrvávať nevyváženosť medzi legitímnym verejným záujmom a zásahom do práva na naše súkromie a práva na ochranu osobných údajov.</w:t>
      </w:r>
    </w:p>
    <w:p w14:paraId="0FF45C5D" w14:textId="77777777" w:rsidR="00855BA8" w:rsidRDefault="00855BA8" w:rsidP="00DF5486">
      <w:pPr>
        <w:spacing w:line="269" w:lineRule="auto"/>
        <w:jc w:val="both"/>
        <w:rPr>
          <w:rFonts w:ascii="Times New Roman" w:hAnsi="Times New Roman" w:cs="Times New Roman"/>
          <w:sz w:val="22"/>
          <w:szCs w:val="22"/>
        </w:rPr>
      </w:pPr>
    </w:p>
    <w:p w14:paraId="4FA50B86" w14:textId="5B37BCDC" w:rsidR="00855BA8" w:rsidRPr="00C9364C" w:rsidRDefault="00855BA8" w:rsidP="00DF5486">
      <w:pPr>
        <w:spacing w:line="269" w:lineRule="auto"/>
        <w:jc w:val="both"/>
        <w:rPr>
          <w:rFonts w:ascii="Times New Roman" w:hAnsi="Times New Roman" w:cs="Times New Roman"/>
          <w:sz w:val="22"/>
          <w:szCs w:val="22"/>
        </w:rPr>
      </w:pPr>
      <w:r>
        <w:rPr>
          <w:rFonts w:ascii="Times New Roman" w:hAnsi="Times New Roman" w:cs="Times New Roman"/>
          <w:sz w:val="22"/>
          <w:szCs w:val="22"/>
        </w:rPr>
        <w:t xml:space="preserve">Túto žiadosť </w:t>
      </w:r>
      <w:r w:rsidRPr="00AF28A8">
        <w:rPr>
          <w:rFonts w:ascii="Times New Roman" w:hAnsi="Times New Roman" w:cs="Times New Roman"/>
          <w:sz w:val="22"/>
          <w:szCs w:val="22"/>
          <w:highlight w:val="yellow"/>
        </w:rPr>
        <w:t>podávam</w:t>
      </w:r>
      <w:r w:rsidR="00AF28A8" w:rsidRPr="00AF28A8">
        <w:rPr>
          <w:rFonts w:ascii="Times New Roman" w:hAnsi="Times New Roman" w:cs="Times New Roman"/>
          <w:sz w:val="22"/>
          <w:szCs w:val="22"/>
          <w:highlight w:val="yellow"/>
        </w:rPr>
        <w:t>/podávame</w:t>
      </w:r>
      <w:r w:rsidR="00AF28A8">
        <w:rPr>
          <w:rFonts w:ascii="Times New Roman" w:hAnsi="Times New Roman" w:cs="Times New Roman"/>
          <w:sz w:val="22"/>
          <w:szCs w:val="22"/>
        </w:rPr>
        <w:t xml:space="preserve"> </w:t>
      </w:r>
      <w:r>
        <w:rPr>
          <w:rFonts w:ascii="Times New Roman" w:hAnsi="Times New Roman" w:cs="Times New Roman"/>
          <w:sz w:val="22"/>
          <w:szCs w:val="22"/>
        </w:rPr>
        <w:t xml:space="preserve">ako KÚV spolu s PVS, </w:t>
      </w:r>
      <w:r w:rsidR="00410B0F">
        <w:rPr>
          <w:rFonts w:ascii="Times New Roman" w:hAnsi="Times New Roman" w:cs="Times New Roman"/>
          <w:sz w:val="22"/>
          <w:szCs w:val="22"/>
        </w:rPr>
        <w:t>ktorého</w:t>
      </w:r>
      <w:r>
        <w:rPr>
          <w:rFonts w:ascii="Times New Roman" w:hAnsi="Times New Roman" w:cs="Times New Roman"/>
          <w:sz w:val="22"/>
          <w:szCs w:val="22"/>
        </w:rPr>
        <w:t xml:space="preserve"> </w:t>
      </w:r>
      <w:r w:rsidR="00AF28A8" w:rsidRPr="00AF28A8">
        <w:rPr>
          <w:rFonts w:ascii="Times New Roman" w:hAnsi="Times New Roman" w:cs="Times New Roman"/>
          <w:sz w:val="22"/>
          <w:szCs w:val="22"/>
          <w:highlight w:val="yellow"/>
        </w:rPr>
        <w:t>som/sme</w:t>
      </w:r>
      <w:r>
        <w:rPr>
          <w:rFonts w:ascii="Times New Roman" w:hAnsi="Times New Roman" w:cs="Times New Roman"/>
          <w:sz w:val="22"/>
          <w:szCs w:val="22"/>
        </w:rPr>
        <w:t xml:space="preserve"> </w:t>
      </w:r>
      <w:r w:rsidR="00B753ED">
        <w:rPr>
          <w:rFonts w:ascii="Times New Roman" w:hAnsi="Times New Roman" w:cs="Times New Roman"/>
          <w:sz w:val="22"/>
          <w:szCs w:val="22"/>
        </w:rPr>
        <w:t>KÚV.</w:t>
      </w:r>
    </w:p>
    <w:p w14:paraId="62401651" w14:textId="77777777" w:rsidR="00855BA8" w:rsidRPr="00C9364C" w:rsidRDefault="00855BA8" w:rsidP="00DF5486">
      <w:pPr>
        <w:spacing w:line="269" w:lineRule="auto"/>
        <w:jc w:val="both"/>
        <w:rPr>
          <w:rFonts w:ascii="Times New Roman" w:hAnsi="Times New Roman" w:cs="Times New Roman"/>
          <w:color w:val="4472C4" w:themeColor="accent1"/>
          <w:sz w:val="22"/>
          <w:szCs w:val="22"/>
        </w:rPr>
      </w:pPr>
    </w:p>
    <w:p w14:paraId="148C8EAC" w14:textId="5B4B430B" w:rsidR="00C9364C" w:rsidRPr="00C9364C" w:rsidRDefault="00C9364C" w:rsidP="00DF5486">
      <w:pPr>
        <w:spacing w:line="269" w:lineRule="auto"/>
        <w:jc w:val="both"/>
        <w:rPr>
          <w:rFonts w:ascii="Times New Roman" w:hAnsi="Times New Roman" w:cs="Times New Roman"/>
          <w:sz w:val="22"/>
          <w:szCs w:val="22"/>
        </w:rPr>
      </w:pPr>
      <w:r w:rsidRPr="00C9364C">
        <w:rPr>
          <w:rFonts w:ascii="Times New Roman" w:hAnsi="Times New Roman" w:cs="Times New Roman"/>
          <w:sz w:val="22"/>
          <w:szCs w:val="22"/>
        </w:rPr>
        <w:t>V prípade potreby akejkoľvek súčinnosti z našej strany sme Vám plne k dispozícii, pričom žiadam</w:t>
      </w:r>
      <w:r w:rsidR="00855BA8">
        <w:rPr>
          <w:rFonts w:ascii="Times New Roman" w:hAnsi="Times New Roman" w:cs="Times New Roman"/>
          <w:sz w:val="22"/>
          <w:szCs w:val="22"/>
        </w:rPr>
        <w:t>e</w:t>
      </w:r>
      <w:r w:rsidR="00F70EB5">
        <w:rPr>
          <w:rFonts w:ascii="Times New Roman" w:hAnsi="Times New Roman" w:cs="Times New Roman"/>
          <w:sz w:val="22"/>
          <w:szCs w:val="22"/>
        </w:rPr>
        <w:t>,</w:t>
      </w:r>
      <w:r w:rsidR="00855BA8">
        <w:rPr>
          <w:rFonts w:ascii="Times New Roman" w:hAnsi="Times New Roman" w:cs="Times New Roman"/>
          <w:sz w:val="22"/>
          <w:szCs w:val="22"/>
        </w:rPr>
        <w:t xml:space="preserve"> </w:t>
      </w:r>
      <w:r w:rsidRPr="00C9364C">
        <w:rPr>
          <w:rFonts w:ascii="Times New Roman" w:hAnsi="Times New Roman" w:cs="Times New Roman"/>
          <w:sz w:val="22"/>
          <w:szCs w:val="22"/>
        </w:rPr>
        <w:t>aby sme boli o spôsobe vybavenie našej žiadosti písomne informovaní.</w:t>
      </w:r>
      <w:r w:rsidR="0005665C">
        <w:rPr>
          <w:rFonts w:ascii="Times New Roman" w:hAnsi="Times New Roman" w:cs="Times New Roman"/>
          <w:sz w:val="22"/>
          <w:szCs w:val="22"/>
        </w:rPr>
        <w:t xml:space="preserve"> </w:t>
      </w:r>
    </w:p>
    <w:p w14:paraId="6F4A0E9C" w14:textId="77777777" w:rsidR="00C9364C" w:rsidRPr="00C9364C" w:rsidRDefault="00C9364C" w:rsidP="00DF5486">
      <w:pPr>
        <w:spacing w:line="269" w:lineRule="auto"/>
        <w:jc w:val="both"/>
        <w:rPr>
          <w:rFonts w:ascii="Times New Roman" w:hAnsi="Times New Roman" w:cs="Times New Roman"/>
          <w:sz w:val="22"/>
          <w:szCs w:val="22"/>
        </w:rPr>
      </w:pPr>
    </w:p>
    <w:p w14:paraId="071F645F" w14:textId="77777777" w:rsidR="00C9364C" w:rsidRPr="00C9364C" w:rsidRDefault="00C9364C" w:rsidP="00DF5486">
      <w:pPr>
        <w:spacing w:line="269" w:lineRule="auto"/>
        <w:jc w:val="both"/>
        <w:rPr>
          <w:rFonts w:ascii="Times New Roman" w:hAnsi="Times New Roman" w:cs="Times New Roman"/>
          <w:sz w:val="22"/>
          <w:szCs w:val="22"/>
        </w:rPr>
      </w:pPr>
      <w:r w:rsidRPr="00C9364C">
        <w:rPr>
          <w:rFonts w:ascii="Times New Roman" w:hAnsi="Times New Roman" w:cs="Times New Roman"/>
          <w:sz w:val="22"/>
          <w:szCs w:val="22"/>
        </w:rPr>
        <w:t>Za kladné vybavenie našej žiadosti vopred ďakujeme.</w:t>
      </w:r>
    </w:p>
    <w:p w14:paraId="5A5A40FD" w14:textId="77777777" w:rsidR="00C9364C" w:rsidRPr="00C9364C" w:rsidRDefault="00C9364C" w:rsidP="00DF5486">
      <w:pPr>
        <w:spacing w:line="269" w:lineRule="auto"/>
        <w:jc w:val="both"/>
        <w:rPr>
          <w:rFonts w:ascii="Times New Roman" w:hAnsi="Times New Roman" w:cs="Times New Roman"/>
          <w:sz w:val="22"/>
          <w:szCs w:val="22"/>
        </w:rPr>
      </w:pPr>
    </w:p>
    <w:p w14:paraId="00A8AF6F" w14:textId="1377AE05" w:rsidR="00C9364C" w:rsidRPr="00C9364C" w:rsidRDefault="00C9364C" w:rsidP="00DF5486">
      <w:pPr>
        <w:spacing w:line="269" w:lineRule="auto"/>
        <w:jc w:val="both"/>
        <w:rPr>
          <w:rFonts w:ascii="Times New Roman" w:hAnsi="Times New Roman" w:cs="Times New Roman"/>
          <w:sz w:val="22"/>
          <w:szCs w:val="22"/>
        </w:rPr>
      </w:pPr>
      <w:r w:rsidRPr="00C9364C">
        <w:rPr>
          <w:rFonts w:ascii="Times New Roman" w:hAnsi="Times New Roman" w:cs="Times New Roman"/>
          <w:sz w:val="22"/>
          <w:szCs w:val="22"/>
        </w:rPr>
        <w:t>S úctou</w:t>
      </w:r>
      <w:r w:rsidRPr="00C9364C">
        <w:rPr>
          <w:rFonts w:ascii="Times New Roman" w:hAnsi="Times New Roman" w:cs="Times New Roman"/>
          <w:sz w:val="22"/>
          <w:szCs w:val="22"/>
        </w:rPr>
        <w:tab/>
      </w:r>
      <w:r w:rsidRPr="00C9364C">
        <w:rPr>
          <w:rFonts w:ascii="Times New Roman" w:hAnsi="Times New Roman" w:cs="Times New Roman"/>
          <w:sz w:val="22"/>
          <w:szCs w:val="22"/>
        </w:rPr>
        <w:tab/>
      </w:r>
      <w:r w:rsidRPr="00C9364C">
        <w:rPr>
          <w:rFonts w:ascii="Times New Roman" w:hAnsi="Times New Roman" w:cs="Times New Roman"/>
          <w:sz w:val="22"/>
          <w:szCs w:val="22"/>
        </w:rPr>
        <w:tab/>
      </w:r>
      <w:r w:rsidRPr="00C9364C">
        <w:rPr>
          <w:rFonts w:ascii="Times New Roman" w:hAnsi="Times New Roman" w:cs="Times New Roman"/>
          <w:sz w:val="22"/>
          <w:szCs w:val="22"/>
        </w:rPr>
        <w:tab/>
      </w:r>
      <w:r w:rsidRPr="00C9364C">
        <w:rPr>
          <w:rFonts w:ascii="Times New Roman" w:hAnsi="Times New Roman" w:cs="Times New Roman"/>
          <w:sz w:val="22"/>
          <w:szCs w:val="22"/>
        </w:rPr>
        <w:tab/>
      </w:r>
    </w:p>
    <w:p w14:paraId="625EF47D" w14:textId="77777777" w:rsidR="00C9364C" w:rsidRPr="00C9364C" w:rsidRDefault="00C9364C" w:rsidP="00DF5486">
      <w:pPr>
        <w:spacing w:line="269" w:lineRule="auto"/>
        <w:rPr>
          <w:rFonts w:ascii="Times New Roman" w:hAnsi="Times New Roman" w:cs="Times New Roman"/>
          <w:sz w:val="22"/>
          <w:szCs w:val="22"/>
        </w:rPr>
      </w:pPr>
    </w:p>
    <w:p w14:paraId="6FD63DF8" w14:textId="7427EC6F" w:rsidR="00C9364C" w:rsidRPr="00C9364C" w:rsidRDefault="00B70949" w:rsidP="00DF5486">
      <w:pPr>
        <w:spacing w:line="269" w:lineRule="auto"/>
        <w:ind w:left="5664" w:firstLine="708"/>
        <w:rPr>
          <w:rFonts w:ascii="Times New Roman" w:hAnsi="Times New Roman" w:cs="Times New Roman"/>
          <w:sz w:val="22"/>
          <w:szCs w:val="22"/>
        </w:rPr>
      </w:pPr>
      <w:r>
        <w:rPr>
          <w:rFonts w:ascii="Times New Roman" w:hAnsi="Times New Roman" w:cs="Times New Roman"/>
          <w:sz w:val="22"/>
          <w:szCs w:val="22"/>
        </w:rPr>
        <w:t>.......</w:t>
      </w:r>
      <w:r w:rsidR="003D2C2F">
        <w:rPr>
          <w:rFonts w:ascii="Times New Roman" w:hAnsi="Times New Roman" w:cs="Times New Roman"/>
          <w:sz w:val="22"/>
          <w:szCs w:val="22"/>
        </w:rPr>
        <w:t>..</w:t>
      </w:r>
      <w:r>
        <w:rPr>
          <w:rFonts w:ascii="Times New Roman" w:hAnsi="Times New Roman" w:cs="Times New Roman"/>
          <w:sz w:val="22"/>
          <w:szCs w:val="22"/>
        </w:rPr>
        <w:t>.........</w:t>
      </w:r>
      <w:r w:rsidR="00C9364C" w:rsidRPr="00C9364C">
        <w:rPr>
          <w:rFonts w:ascii="Times New Roman" w:hAnsi="Times New Roman" w:cs="Times New Roman"/>
          <w:sz w:val="22"/>
          <w:szCs w:val="22"/>
        </w:rPr>
        <w:t>...............................</w:t>
      </w:r>
    </w:p>
    <w:p w14:paraId="62FB1E3D" w14:textId="6CF75F0A" w:rsidR="00AA0C91" w:rsidRDefault="00B70949" w:rsidP="00DF5486">
      <w:pPr>
        <w:spacing w:line="269" w:lineRule="auto"/>
        <w:ind w:left="4248" w:firstLine="708"/>
        <w:jc w:val="center"/>
        <w:rPr>
          <w:rFonts w:ascii="Times New Roman" w:hAnsi="Times New Roman" w:cs="Times New Roman"/>
          <w:color w:val="4D5156"/>
          <w:sz w:val="22"/>
          <w:szCs w:val="22"/>
          <w:shd w:val="clear" w:color="auto" w:fill="FFFFFF"/>
        </w:rPr>
      </w:pPr>
      <w:r>
        <w:rPr>
          <w:rFonts w:ascii="Times New Roman" w:hAnsi="Times New Roman" w:cs="Times New Roman"/>
          <w:color w:val="4D5156"/>
          <w:sz w:val="22"/>
          <w:szCs w:val="22"/>
          <w:shd w:val="clear" w:color="auto" w:fill="FFFFFF"/>
        </w:rPr>
        <w:t xml:space="preserve">   </w:t>
      </w:r>
      <w:r w:rsidR="00AF1766">
        <w:rPr>
          <w:rFonts w:ascii="Times New Roman" w:hAnsi="Times New Roman" w:cs="Times New Roman"/>
          <w:color w:val="4D5156"/>
          <w:sz w:val="22"/>
          <w:szCs w:val="22"/>
          <w:shd w:val="clear" w:color="auto" w:fill="FFFFFF"/>
        </w:rPr>
        <w:t xml:space="preserve">                     </w:t>
      </w:r>
      <w:r>
        <w:rPr>
          <w:rFonts w:ascii="Times New Roman" w:hAnsi="Times New Roman" w:cs="Times New Roman"/>
          <w:color w:val="4D5156"/>
          <w:sz w:val="22"/>
          <w:szCs w:val="22"/>
          <w:shd w:val="clear" w:color="auto" w:fill="FFFFFF"/>
        </w:rPr>
        <w:t xml:space="preserve"> </w:t>
      </w:r>
      <w:r w:rsidR="00C9364C" w:rsidRPr="00C9364C">
        <w:rPr>
          <w:rFonts w:ascii="Times New Roman" w:hAnsi="Times New Roman" w:cs="Times New Roman"/>
          <w:color w:val="4D5156"/>
          <w:sz w:val="22"/>
          <w:szCs w:val="22"/>
          <w:shd w:val="clear" w:color="auto" w:fill="FFFFFF"/>
        </w:rPr>
        <w:t>[</w:t>
      </w:r>
      <w:r w:rsidR="00E2121E" w:rsidRPr="00C9259C">
        <w:rPr>
          <w:rFonts w:ascii="Times New Roman" w:hAnsi="Times New Roman" w:cs="Times New Roman"/>
          <w:color w:val="4D5156"/>
          <w:sz w:val="22"/>
          <w:szCs w:val="22"/>
          <w:highlight w:val="yellow"/>
          <w:shd w:val="clear" w:color="auto" w:fill="FFFFFF"/>
        </w:rPr>
        <w:t>*</w:t>
      </w:r>
      <w:r w:rsidR="00F70EB5" w:rsidRPr="00F70EB5">
        <w:rPr>
          <w:rFonts w:ascii="Times New Roman" w:hAnsi="Times New Roman" w:cs="Times New Roman"/>
          <w:color w:val="4D5156"/>
          <w:sz w:val="22"/>
          <w:szCs w:val="22"/>
          <w:highlight w:val="yellow"/>
          <w:shd w:val="clear" w:color="auto" w:fill="FFFFFF"/>
        </w:rPr>
        <w:t>názov</w:t>
      </w:r>
      <w:r w:rsidRPr="00F70EB5">
        <w:rPr>
          <w:rFonts w:ascii="Times New Roman" w:hAnsi="Times New Roman" w:cs="Times New Roman"/>
          <w:color w:val="4D5156"/>
          <w:sz w:val="22"/>
          <w:szCs w:val="22"/>
          <w:highlight w:val="yellow"/>
          <w:shd w:val="clear" w:color="auto" w:fill="FFFFFF"/>
        </w:rPr>
        <w:t xml:space="preserve"> </w:t>
      </w:r>
      <w:r w:rsidR="00F70EB5" w:rsidRPr="00F70EB5">
        <w:rPr>
          <w:rFonts w:ascii="Times New Roman" w:hAnsi="Times New Roman" w:cs="Times New Roman"/>
          <w:color w:val="4D5156"/>
          <w:sz w:val="22"/>
          <w:szCs w:val="22"/>
          <w:highlight w:val="yellow"/>
          <w:shd w:val="clear" w:color="auto" w:fill="FFFFFF"/>
        </w:rPr>
        <w:t>PVS</w:t>
      </w:r>
      <w:r w:rsidR="00AA0C91">
        <w:rPr>
          <w:rFonts w:ascii="Times New Roman" w:hAnsi="Times New Roman" w:cs="Times New Roman"/>
          <w:color w:val="4D5156"/>
          <w:sz w:val="22"/>
          <w:szCs w:val="22"/>
          <w:shd w:val="clear" w:color="auto" w:fill="FFFFFF"/>
        </w:rPr>
        <w:t xml:space="preserve"> </w:t>
      </w:r>
    </w:p>
    <w:p w14:paraId="0914413E" w14:textId="15BCC70D" w:rsidR="00C9364C" w:rsidRPr="00C9364C" w:rsidRDefault="003D2C2F" w:rsidP="00DF5486">
      <w:pPr>
        <w:spacing w:line="269" w:lineRule="auto"/>
        <w:ind w:left="4248" w:firstLine="708"/>
        <w:jc w:val="center"/>
        <w:rPr>
          <w:rFonts w:ascii="Times New Roman" w:hAnsi="Times New Roman" w:cs="Times New Roman"/>
          <w:sz w:val="22"/>
          <w:szCs w:val="22"/>
        </w:rPr>
      </w:pPr>
      <w:r>
        <w:rPr>
          <w:rFonts w:ascii="Times New Roman" w:hAnsi="Times New Roman" w:cs="Times New Roman"/>
          <w:color w:val="4D5156"/>
          <w:sz w:val="22"/>
          <w:szCs w:val="22"/>
          <w:shd w:val="clear" w:color="auto" w:fill="FFFFFF"/>
        </w:rPr>
        <w:t xml:space="preserve">              </w:t>
      </w:r>
      <w:r w:rsidRPr="003D2C2F">
        <w:rPr>
          <w:rFonts w:ascii="Times New Roman" w:hAnsi="Times New Roman" w:cs="Times New Roman"/>
          <w:color w:val="4D5156"/>
          <w:sz w:val="22"/>
          <w:szCs w:val="22"/>
          <w:highlight w:val="yellow"/>
          <w:shd w:val="clear" w:color="auto" w:fill="FFFFFF"/>
        </w:rPr>
        <w:t>m</w:t>
      </w:r>
      <w:r w:rsidR="00AA0C91" w:rsidRPr="003D2C2F">
        <w:rPr>
          <w:rFonts w:ascii="Times New Roman" w:hAnsi="Times New Roman" w:cs="Times New Roman"/>
          <w:color w:val="4D5156"/>
          <w:sz w:val="22"/>
          <w:szCs w:val="22"/>
          <w:highlight w:val="yellow"/>
          <w:shd w:val="clear" w:color="auto" w:fill="FFFFFF"/>
        </w:rPr>
        <w:t xml:space="preserve">eno </w:t>
      </w:r>
      <w:r w:rsidRPr="003D2C2F">
        <w:rPr>
          <w:rFonts w:ascii="Times New Roman" w:hAnsi="Times New Roman" w:cs="Times New Roman"/>
          <w:color w:val="4D5156"/>
          <w:sz w:val="22"/>
          <w:szCs w:val="22"/>
          <w:highlight w:val="yellow"/>
          <w:shd w:val="clear" w:color="auto" w:fill="FFFFFF"/>
        </w:rPr>
        <w:t xml:space="preserve">a funkcia podpisujúcej </w:t>
      </w:r>
      <w:r w:rsidR="00AA0C91" w:rsidRPr="003D2C2F">
        <w:rPr>
          <w:rFonts w:ascii="Times New Roman" w:hAnsi="Times New Roman" w:cs="Times New Roman"/>
          <w:color w:val="4D5156"/>
          <w:sz w:val="22"/>
          <w:szCs w:val="22"/>
          <w:highlight w:val="yellow"/>
          <w:shd w:val="clear" w:color="auto" w:fill="FFFFFF"/>
        </w:rPr>
        <w:t>osoby</w:t>
      </w:r>
      <w:r w:rsidR="00E2121E" w:rsidRPr="00C9259C">
        <w:rPr>
          <w:rFonts w:ascii="Times New Roman" w:hAnsi="Times New Roman" w:cs="Times New Roman"/>
          <w:color w:val="4D5156"/>
          <w:sz w:val="22"/>
          <w:szCs w:val="22"/>
          <w:highlight w:val="yellow"/>
          <w:shd w:val="clear" w:color="auto" w:fill="FFFFFF"/>
        </w:rPr>
        <w:t>*</w:t>
      </w:r>
      <w:r w:rsidR="00C9364C" w:rsidRPr="003D2C2F">
        <w:rPr>
          <w:rFonts w:ascii="Times New Roman" w:hAnsi="Times New Roman" w:cs="Times New Roman"/>
          <w:color w:val="4D5156"/>
          <w:sz w:val="22"/>
          <w:szCs w:val="22"/>
          <w:highlight w:val="yellow"/>
          <w:shd w:val="clear" w:color="auto" w:fill="FFFFFF"/>
        </w:rPr>
        <w:t>]</w:t>
      </w:r>
    </w:p>
    <w:p w14:paraId="69179B99" w14:textId="77777777" w:rsidR="00C9364C" w:rsidRPr="00C9364C" w:rsidRDefault="00C9364C" w:rsidP="00DF5486">
      <w:pPr>
        <w:spacing w:line="269" w:lineRule="auto"/>
        <w:jc w:val="right"/>
        <w:rPr>
          <w:rFonts w:ascii="Times New Roman" w:hAnsi="Times New Roman" w:cs="Times New Roman"/>
          <w:sz w:val="22"/>
          <w:szCs w:val="22"/>
          <w:shd w:val="clear" w:color="auto" w:fill="FFFFFF"/>
        </w:rPr>
      </w:pPr>
    </w:p>
    <w:p w14:paraId="49B91FA3" w14:textId="21BB908C" w:rsidR="00C9364C" w:rsidRDefault="00C9364C" w:rsidP="00DF5486">
      <w:pPr>
        <w:spacing w:line="269" w:lineRule="auto"/>
        <w:jc w:val="right"/>
        <w:rPr>
          <w:rFonts w:ascii="Times New Roman" w:hAnsi="Times New Roman" w:cs="Times New Roman"/>
          <w:sz w:val="22"/>
          <w:szCs w:val="22"/>
          <w:shd w:val="clear" w:color="auto" w:fill="FFFFFF"/>
        </w:rPr>
      </w:pPr>
    </w:p>
    <w:p w14:paraId="33A5169D" w14:textId="77777777" w:rsidR="00A20375" w:rsidRPr="00C9364C" w:rsidRDefault="00A20375" w:rsidP="00DF5486">
      <w:pPr>
        <w:spacing w:line="269" w:lineRule="auto"/>
        <w:jc w:val="right"/>
        <w:rPr>
          <w:rFonts w:ascii="Times New Roman" w:hAnsi="Times New Roman" w:cs="Times New Roman"/>
          <w:sz w:val="22"/>
          <w:szCs w:val="22"/>
          <w:shd w:val="clear" w:color="auto" w:fill="FFFFFF"/>
        </w:rPr>
      </w:pPr>
    </w:p>
    <w:p w14:paraId="1B5FE4EF" w14:textId="77777777" w:rsidR="00AF1766" w:rsidRPr="00C9364C" w:rsidRDefault="00AF1766" w:rsidP="00DF5486">
      <w:pPr>
        <w:spacing w:line="269" w:lineRule="auto"/>
        <w:ind w:left="5664" w:firstLine="708"/>
        <w:rPr>
          <w:rFonts w:ascii="Times New Roman" w:hAnsi="Times New Roman" w:cs="Times New Roman"/>
          <w:sz w:val="22"/>
          <w:szCs w:val="22"/>
        </w:rPr>
      </w:pPr>
      <w:r>
        <w:rPr>
          <w:rFonts w:ascii="Times New Roman" w:hAnsi="Times New Roman" w:cs="Times New Roman"/>
          <w:sz w:val="22"/>
          <w:szCs w:val="22"/>
        </w:rPr>
        <w:t>................</w:t>
      </w:r>
      <w:r w:rsidRPr="00C9364C">
        <w:rPr>
          <w:rFonts w:ascii="Times New Roman" w:hAnsi="Times New Roman" w:cs="Times New Roman"/>
          <w:sz w:val="22"/>
          <w:szCs w:val="22"/>
        </w:rPr>
        <w:t>...............................</w:t>
      </w:r>
    </w:p>
    <w:p w14:paraId="5DFF8EFF" w14:textId="542FD3EB" w:rsidR="00C9364C" w:rsidRPr="00DF5486" w:rsidRDefault="00AF1766" w:rsidP="00DF5486">
      <w:pPr>
        <w:spacing w:line="269" w:lineRule="auto"/>
        <w:ind w:left="6336"/>
        <w:jc w:val="center"/>
        <w:rPr>
          <w:rFonts w:ascii="Times New Roman" w:hAnsi="Times New Roman" w:cs="Times New Roman"/>
          <w:sz w:val="22"/>
          <w:szCs w:val="22"/>
        </w:rPr>
      </w:pPr>
      <w:r w:rsidRPr="00C9364C">
        <w:rPr>
          <w:rFonts w:ascii="Times New Roman" w:hAnsi="Times New Roman" w:cs="Times New Roman"/>
          <w:color w:val="4D5156"/>
          <w:sz w:val="22"/>
          <w:szCs w:val="22"/>
          <w:shd w:val="clear" w:color="auto" w:fill="FFFFFF"/>
        </w:rPr>
        <w:t>[</w:t>
      </w:r>
      <w:r w:rsidR="00E2121E" w:rsidRPr="00C9259C">
        <w:rPr>
          <w:rFonts w:ascii="Times New Roman" w:hAnsi="Times New Roman" w:cs="Times New Roman"/>
          <w:color w:val="4D5156"/>
          <w:sz w:val="22"/>
          <w:szCs w:val="22"/>
          <w:highlight w:val="yellow"/>
          <w:shd w:val="clear" w:color="auto" w:fill="FFFFFF"/>
        </w:rPr>
        <w:t>*</w:t>
      </w:r>
      <w:r w:rsidR="00F70EB5" w:rsidRPr="00AA0C91">
        <w:rPr>
          <w:rFonts w:ascii="Times New Roman" w:hAnsi="Times New Roman" w:cs="Times New Roman"/>
          <w:color w:val="4D5156"/>
          <w:sz w:val="22"/>
          <w:szCs w:val="22"/>
          <w:highlight w:val="yellow"/>
          <w:shd w:val="clear" w:color="auto" w:fill="FFFFFF"/>
        </w:rPr>
        <w:t xml:space="preserve">meno a priezvisko </w:t>
      </w:r>
      <w:r w:rsidRPr="00AA0C91">
        <w:rPr>
          <w:rFonts w:ascii="Times New Roman" w:hAnsi="Times New Roman" w:cs="Times New Roman"/>
          <w:color w:val="4D5156"/>
          <w:sz w:val="22"/>
          <w:szCs w:val="22"/>
          <w:highlight w:val="yellow"/>
          <w:shd w:val="clear" w:color="auto" w:fill="FFFFFF"/>
        </w:rPr>
        <w:t xml:space="preserve"> </w:t>
      </w:r>
      <w:r w:rsidR="00F70EB5" w:rsidRPr="00AA0C91">
        <w:rPr>
          <w:rFonts w:ascii="Times New Roman" w:hAnsi="Times New Roman" w:cs="Times New Roman"/>
          <w:color w:val="4D5156"/>
          <w:sz w:val="22"/>
          <w:szCs w:val="22"/>
          <w:highlight w:val="yellow"/>
          <w:shd w:val="clear" w:color="auto" w:fill="FFFFFF"/>
        </w:rPr>
        <w:t>KÚV</w:t>
      </w:r>
      <w:r w:rsidR="00AA0C91" w:rsidRPr="00AA0C91">
        <w:rPr>
          <w:rFonts w:ascii="Times New Roman" w:hAnsi="Times New Roman" w:cs="Times New Roman"/>
          <w:color w:val="4D5156"/>
          <w:sz w:val="22"/>
          <w:szCs w:val="22"/>
          <w:highlight w:val="yellow"/>
          <w:shd w:val="clear" w:color="auto" w:fill="FFFFFF"/>
        </w:rPr>
        <w:t xml:space="preserve"> </w:t>
      </w:r>
      <w:r w:rsidRPr="00AA0C91">
        <w:rPr>
          <w:rFonts w:ascii="Times New Roman" w:hAnsi="Times New Roman" w:cs="Times New Roman"/>
          <w:color w:val="4D5156"/>
          <w:sz w:val="22"/>
          <w:szCs w:val="22"/>
          <w:highlight w:val="yellow"/>
          <w:shd w:val="clear" w:color="auto" w:fill="FFFFFF"/>
        </w:rPr>
        <w:t xml:space="preserve">za </w:t>
      </w:r>
      <w:r w:rsidR="00AA0C91" w:rsidRPr="00AA0C91">
        <w:rPr>
          <w:rFonts w:ascii="Times New Roman" w:hAnsi="Times New Roman" w:cs="Times New Roman"/>
          <w:color w:val="4D5156"/>
          <w:sz w:val="22"/>
          <w:szCs w:val="22"/>
          <w:highlight w:val="yellow"/>
          <w:shd w:val="clear" w:color="auto" w:fill="FFFFFF"/>
        </w:rPr>
        <w:t xml:space="preserve"> </w:t>
      </w:r>
      <w:r w:rsidRPr="00AA0C91">
        <w:rPr>
          <w:rFonts w:ascii="Times New Roman" w:hAnsi="Times New Roman" w:cs="Times New Roman"/>
          <w:color w:val="4D5156"/>
          <w:sz w:val="22"/>
          <w:szCs w:val="22"/>
          <w:highlight w:val="yellow"/>
          <w:shd w:val="clear" w:color="auto" w:fill="FFFFFF"/>
        </w:rPr>
        <w:t xml:space="preserve">každého </w:t>
      </w:r>
      <w:r w:rsidR="00AA0C91" w:rsidRPr="00AA0C91">
        <w:rPr>
          <w:rFonts w:ascii="Times New Roman" w:hAnsi="Times New Roman" w:cs="Times New Roman"/>
          <w:color w:val="4D5156"/>
          <w:sz w:val="22"/>
          <w:szCs w:val="22"/>
          <w:highlight w:val="yellow"/>
          <w:shd w:val="clear" w:color="auto" w:fill="FFFFFF"/>
        </w:rPr>
        <w:t>KÚV samostatne</w:t>
      </w:r>
      <w:r w:rsidR="00E2121E" w:rsidRPr="00C9259C">
        <w:rPr>
          <w:rFonts w:ascii="Times New Roman" w:hAnsi="Times New Roman" w:cs="Times New Roman"/>
          <w:color w:val="4D5156"/>
          <w:sz w:val="22"/>
          <w:szCs w:val="22"/>
          <w:highlight w:val="yellow"/>
          <w:shd w:val="clear" w:color="auto" w:fill="FFFFFF"/>
        </w:rPr>
        <w:t>*</w:t>
      </w:r>
      <w:r w:rsidRPr="00C9364C">
        <w:rPr>
          <w:rFonts w:ascii="Times New Roman" w:hAnsi="Times New Roman" w:cs="Times New Roman"/>
          <w:color w:val="4D5156"/>
          <w:sz w:val="22"/>
          <w:szCs w:val="22"/>
          <w:shd w:val="clear" w:color="auto" w:fill="FFFFFF"/>
        </w:rPr>
        <w:t>]</w:t>
      </w:r>
    </w:p>
    <w:sectPr w:rsidR="00C9364C" w:rsidRPr="00DF54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6982" w14:textId="77777777" w:rsidR="00890281" w:rsidRDefault="00890281" w:rsidP="00C9364C">
      <w:pPr>
        <w:spacing w:line="240" w:lineRule="auto"/>
      </w:pPr>
      <w:r>
        <w:separator/>
      </w:r>
    </w:p>
  </w:endnote>
  <w:endnote w:type="continuationSeparator" w:id="0">
    <w:p w14:paraId="6798177A" w14:textId="77777777" w:rsidR="00890281" w:rsidRDefault="00890281" w:rsidP="00C93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550689672"/>
      <w:docPartObj>
        <w:docPartGallery w:val="Page Numbers (Bottom of Page)"/>
        <w:docPartUnique/>
      </w:docPartObj>
    </w:sdtPr>
    <w:sdtContent>
      <w:p w14:paraId="5E5E0D81" w14:textId="5847E091" w:rsidR="00C9364C" w:rsidRPr="00A20375" w:rsidRDefault="00C9364C">
        <w:pPr>
          <w:pStyle w:val="Pta"/>
          <w:jc w:val="center"/>
          <w:rPr>
            <w:rFonts w:ascii="Times New Roman" w:hAnsi="Times New Roman" w:cs="Times New Roman"/>
            <w:sz w:val="22"/>
            <w:szCs w:val="22"/>
          </w:rPr>
        </w:pPr>
        <w:r w:rsidRPr="00A20375">
          <w:rPr>
            <w:rFonts w:ascii="Times New Roman" w:hAnsi="Times New Roman" w:cs="Times New Roman"/>
            <w:sz w:val="22"/>
            <w:szCs w:val="22"/>
          </w:rPr>
          <w:fldChar w:fldCharType="begin"/>
        </w:r>
        <w:r w:rsidRPr="00A20375">
          <w:rPr>
            <w:rFonts w:ascii="Times New Roman" w:hAnsi="Times New Roman" w:cs="Times New Roman"/>
            <w:sz w:val="22"/>
            <w:szCs w:val="22"/>
          </w:rPr>
          <w:instrText>PAGE   \* MERGEFORMAT</w:instrText>
        </w:r>
        <w:r w:rsidRPr="00A20375">
          <w:rPr>
            <w:rFonts w:ascii="Times New Roman" w:hAnsi="Times New Roman" w:cs="Times New Roman"/>
            <w:sz w:val="22"/>
            <w:szCs w:val="22"/>
          </w:rPr>
          <w:fldChar w:fldCharType="separate"/>
        </w:r>
        <w:r w:rsidRPr="00A20375">
          <w:rPr>
            <w:rFonts w:ascii="Times New Roman" w:hAnsi="Times New Roman" w:cs="Times New Roman"/>
            <w:sz w:val="22"/>
            <w:szCs w:val="22"/>
          </w:rPr>
          <w:t>2</w:t>
        </w:r>
        <w:r w:rsidRPr="00A20375">
          <w:rPr>
            <w:rFonts w:ascii="Times New Roman" w:hAnsi="Times New Roman" w:cs="Times New Roman"/>
            <w:sz w:val="22"/>
            <w:szCs w:val="22"/>
          </w:rPr>
          <w:fldChar w:fldCharType="end"/>
        </w:r>
      </w:p>
    </w:sdtContent>
  </w:sdt>
  <w:p w14:paraId="02F05689" w14:textId="77777777" w:rsidR="00C9364C" w:rsidRPr="00A20375" w:rsidRDefault="00C9364C">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8304" w14:textId="77777777" w:rsidR="00890281" w:rsidRDefault="00890281" w:rsidP="00C9364C">
      <w:pPr>
        <w:spacing w:line="240" w:lineRule="auto"/>
      </w:pPr>
      <w:r>
        <w:separator/>
      </w:r>
    </w:p>
  </w:footnote>
  <w:footnote w:type="continuationSeparator" w:id="0">
    <w:p w14:paraId="6887ACE8" w14:textId="77777777" w:rsidR="00890281" w:rsidRDefault="00890281" w:rsidP="00C9364C">
      <w:pPr>
        <w:spacing w:line="240" w:lineRule="auto"/>
      </w:pPr>
      <w:r>
        <w:continuationSeparator/>
      </w:r>
    </w:p>
  </w:footnote>
  <w:footnote w:id="1">
    <w:p w14:paraId="29C555A2" w14:textId="77777777" w:rsidR="00C9364C" w:rsidRPr="00DD3417" w:rsidRDefault="00C9364C" w:rsidP="00C9364C">
      <w:pPr>
        <w:pStyle w:val="Textpoznmkypodiarou"/>
        <w:jc w:val="both"/>
        <w:rPr>
          <w:sz w:val="18"/>
          <w:szCs w:val="18"/>
        </w:rPr>
      </w:pPr>
      <w:r w:rsidRPr="00DD3417">
        <w:rPr>
          <w:rStyle w:val="Odkaznapoznmkupodiarou"/>
          <w:rFonts w:eastAsia="Arial"/>
          <w:sz w:val="18"/>
          <w:szCs w:val="18"/>
        </w:rPr>
        <w:footnoteRef/>
      </w:r>
      <w:r w:rsidRPr="00DD3417">
        <w:rPr>
          <w:sz w:val="18"/>
          <w:szCs w:val="18"/>
        </w:rPr>
        <w:t xml:space="preserve"> VARGAEŠTOK,P.-HRONČEK,R.-KOŠÍKOVÁ, V.: Zákon o registri partnerov verejného sektora. Komentár. Bratislava: </w:t>
      </w:r>
      <w:proofErr w:type="spellStart"/>
      <w:r w:rsidRPr="00DD3417">
        <w:rPr>
          <w:sz w:val="18"/>
          <w:szCs w:val="18"/>
        </w:rPr>
        <w:t>Wolters</w:t>
      </w:r>
      <w:proofErr w:type="spellEnd"/>
      <w:r w:rsidRPr="00DD3417">
        <w:rPr>
          <w:sz w:val="18"/>
          <w:szCs w:val="18"/>
        </w:rPr>
        <w:t xml:space="preserve"> </w:t>
      </w:r>
      <w:proofErr w:type="spellStart"/>
      <w:r w:rsidRPr="00DD3417">
        <w:rPr>
          <w:sz w:val="18"/>
          <w:szCs w:val="18"/>
        </w:rPr>
        <w:t>Kluwer</w:t>
      </w:r>
      <w:proofErr w:type="spellEnd"/>
      <w:r w:rsidRPr="00DD3417">
        <w:rPr>
          <w:sz w:val="18"/>
          <w:szCs w:val="18"/>
        </w:rPr>
        <w:t xml:space="preserve"> SR s.r.o., 2020, s. IX.</w:t>
      </w:r>
    </w:p>
  </w:footnote>
  <w:footnote w:id="2">
    <w:p w14:paraId="1272F1F5" w14:textId="77777777" w:rsidR="00C9364C" w:rsidRPr="00DD3417" w:rsidRDefault="00C9364C" w:rsidP="00C9364C">
      <w:pPr>
        <w:pStyle w:val="Textpoznmkypodiarou"/>
        <w:jc w:val="both"/>
        <w:rPr>
          <w:sz w:val="18"/>
          <w:szCs w:val="18"/>
        </w:rPr>
      </w:pPr>
      <w:r w:rsidRPr="00DD3417">
        <w:rPr>
          <w:rStyle w:val="Odkaznapoznmkupodiarou"/>
          <w:rFonts w:eastAsia="Arial"/>
          <w:sz w:val="18"/>
          <w:szCs w:val="18"/>
        </w:rPr>
        <w:footnoteRef/>
      </w:r>
      <w:r w:rsidRPr="00DD3417">
        <w:rPr>
          <w:sz w:val="18"/>
          <w:szCs w:val="18"/>
        </w:rPr>
        <w:t xml:space="preserve"> Zákon č. 315/2016 </w:t>
      </w:r>
      <w:proofErr w:type="spellStart"/>
      <w:r w:rsidRPr="00DD3417">
        <w:rPr>
          <w:sz w:val="18"/>
          <w:szCs w:val="18"/>
        </w:rPr>
        <w:t>Z.z</w:t>
      </w:r>
      <w:proofErr w:type="spellEnd"/>
      <w:r w:rsidRPr="00DD3417">
        <w:rPr>
          <w:sz w:val="18"/>
          <w:szCs w:val="18"/>
        </w:rPr>
        <w:t xml:space="preserve">. o registri partnerov verejného sektora a o zmene a doplnení niektorých zákonov v platnom znení. </w:t>
      </w:r>
    </w:p>
  </w:footnote>
  <w:footnote w:id="3">
    <w:p w14:paraId="5EB91021" w14:textId="77777777" w:rsidR="00C9364C" w:rsidRPr="00DD3417" w:rsidRDefault="00C9364C" w:rsidP="00C9364C">
      <w:pPr>
        <w:pStyle w:val="Textpoznmkypodiarou"/>
        <w:jc w:val="both"/>
        <w:rPr>
          <w:sz w:val="18"/>
          <w:szCs w:val="18"/>
        </w:rPr>
      </w:pPr>
      <w:r w:rsidRPr="00DD3417">
        <w:rPr>
          <w:rStyle w:val="Odkaznapoznmkupodiarou"/>
          <w:rFonts w:eastAsia="Arial"/>
          <w:sz w:val="18"/>
          <w:szCs w:val="18"/>
        </w:rPr>
        <w:footnoteRef/>
      </w:r>
      <w:r w:rsidRPr="00DD3417">
        <w:rPr>
          <w:sz w:val="18"/>
          <w:szCs w:val="18"/>
        </w:rPr>
        <w:t xml:space="preserve"> Zákon č.297/2008 </w:t>
      </w:r>
      <w:proofErr w:type="spellStart"/>
      <w:r w:rsidRPr="00DD3417">
        <w:rPr>
          <w:sz w:val="18"/>
          <w:szCs w:val="18"/>
        </w:rPr>
        <w:t>Z.z</w:t>
      </w:r>
      <w:proofErr w:type="spellEnd"/>
      <w:r w:rsidRPr="00DD3417">
        <w:rPr>
          <w:sz w:val="18"/>
          <w:szCs w:val="18"/>
        </w:rPr>
        <w:t xml:space="preserve">. o ochrane pred legalizáciou príjmov z trestnej činnosti a o ochrane pred financovaním terorizmu a o zmene a doplnení niektorých zákonov v platnom znení. </w:t>
      </w:r>
    </w:p>
  </w:footnote>
  <w:footnote w:id="4">
    <w:p w14:paraId="7CACB0CE" w14:textId="77777777" w:rsidR="00C9364C" w:rsidRPr="00DD3417" w:rsidRDefault="00C9364C" w:rsidP="00C9364C">
      <w:pPr>
        <w:pStyle w:val="Textpoznmkypodiarou"/>
        <w:jc w:val="both"/>
        <w:rPr>
          <w:sz w:val="18"/>
          <w:szCs w:val="18"/>
        </w:rPr>
      </w:pPr>
      <w:r w:rsidRPr="00DD3417">
        <w:rPr>
          <w:rStyle w:val="Odkaznapoznmkupodiarou"/>
          <w:rFonts w:eastAsia="Arial"/>
          <w:sz w:val="18"/>
          <w:szCs w:val="18"/>
        </w:rPr>
        <w:footnoteRef/>
      </w:r>
      <w:r w:rsidRPr="00DD3417">
        <w:rPr>
          <w:sz w:val="18"/>
          <w:szCs w:val="18"/>
        </w:rPr>
        <w:t xml:space="preserve">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(ďalej ako „</w:t>
      </w:r>
      <w:r w:rsidRPr="00DD3417">
        <w:rPr>
          <w:b/>
          <w:bCs/>
          <w:i/>
          <w:iCs/>
          <w:sz w:val="18"/>
          <w:szCs w:val="18"/>
        </w:rPr>
        <w:t>Smernica</w:t>
      </w:r>
      <w:r w:rsidRPr="00DD3417">
        <w:rPr>
          <w:sz w:val="18"/>
          <w:szCs w:val="18"/>
        </w:rPr>
        <w:t>“)</w:t>
      </w:r>
    </w:p>
  </w:footnote>
  <w:footnote w:id="5">
    <w:p w14:paraId="0807C17B" w14:textId="77777777" w:rsidR="00C9364C" w:rsidRPr="00DD3417" w:rsidRDefault="00C9364C" w:rsidP="00C9364C">
      <w:pPr>
        <w:pStyle w:val="Textpoznmkypodiarou"/>
        <w:jc w:val="both"/>
        <w:rPr>
          <w:sz w:val="18"/>
          <w:szCs w:val="18"/>
        </w:rPr>
      </w:pPr>
      <w:r w:rsidRPr="00DD3417">
        <w:rPr>
          <w:rStyle w:val="Odkaznapoznmkupodiarou"/>
          <w:rFonts w:eastAsia="Arial"/>
          <w:sz w:val="18"/>
          <w:szCs w:val="18"/>
        </w:rPr>
        <w:footnoteRef/>
      </w:r>
      <w:r w:rsidRPr="00DD3417">
        <w:rPr>
          <w:sz w:val="18"/>
          <w:szCs w:val="18"/>
        </w:rPr>
        <w:t xml:space="preserve">  Bulletin slovenskej advokácie 1-2/2017, Register konečných užívateľov výhod- stop pre schránkové firmy vo verejnom obstarávaní, JUDr. Andrej </w:t>
      </w:r>
      <w:proofErr w:type="spellStart"/>
      <w:r w:rsidRPr="00DD3417">
        <w:rPr>
          <w:sz w:val="18"/>
          <w:szCs w:val="18"/>
        </w:rPr>
        <w:t>Leontiev</w:t>
      </w:r>
      <w:proofErr w:type="spellEnd"/>
      <w:r w:rsidRPr="00DD3417">
        <w:rPr>
          <w:sz w:val="18"/>
          <w:szCs w:val="18"/>
        </w:rPr>
        <w:t xml:space="preserve">, LL.M a Mgr. Marek </w:t>
      </w:r>
      <w:proofErr w:type="spellStart"/>
      <w:r w:rsidRPr="00DD3417">
        <w:rPr>
          <w:sz w:val="18"/>
          <w:szCs w:val="18"/>
        </w:rPr>
        <w:t>Anderle</w:t>
      </w:r>
      <w:proofErr w:type="spellEnd"/>
      <w:r w:rsidRPr="00DD3417">
        <w:rPr>
          <w:sz w:val="18"/>
          <w:szCs w:val="18"/>
        </w:rPr>
        <w:t>, s. 7.</w:t>
      </w:r>
    </w:p>
  </w:footnote>
  <w:footnote w:id="6">
    <w:p w14:paraId="2C963BDD" w14:textId="7C3800C9" w:rsidR="00C9364C" w:rsidRPr="00DD3417" w:rsidRDefault="00C9364C" w:rsidP="00C9364C">
      <w:pPr>
        <w:pStyle w:val="Textpoznmkypodiarou"/>
        <w:jc w:val="both"/>
        <w:rPr>
          <w:sz w:val="18"/>
          <w:szCs w:val="18"/>
        </w:rPr>
      </w:pPr>
      <w:r w:rsidRPr="00DD3417">
        <w:rPr>
          <w:rStyle w:val="Odkaznapoznmkupodiarou"/>
          <w:rFonts w:eastAsia="Arial"/>
          <w:sz w:val="18"/>
          <w:szCs w:val="18"/>
        </w:rPr>
        <w:footnoteRef/>
      </w:r>
      <w:r w:rsidRPr="00DD3417">
        <w:rPr>
          <w:sz w:val="18"/>
          <w:szCs w:val="18"/>
        </w:rPr>
        <w:t xml:space="preserve"> Charta základných práv Európskej únie sa stala súčasťou právneho poriadku Európskej únie 1. decembra 2009. Na rozdiel od Zmluvy o ústave pre Európu, ktorá obsahovala aj Chartu, Lisabonská zmluva na Chartu len odkazuje, keď v bode 8) sa </w:t>
      </w:r>
      <w:r w:rsidR="000C0D92">
        <w:rPr>
          <w:sz w:val="18"/>
          <w:szCs w:val="18"/>
        </w:rPr>
        <w:t>v</w:t>
      </w:r>
      <w:r w:rsidRPr="00DD3417">
        <w:rPr>
          <w:sz w:val="18"/>
          <w:szCs w:val="18"/>
        </w:rPr>
        <w:t xml:space="preserve"> znení čl. 6 Zmluvy o Európskej únii, ustanovuje: „Únia uznáva práva, slobody a zásady uvedené v Charte základných práv Európskej únie zo 7. decembra 2000 upravenej 12. decembra 2007 v Štrasburgu, ktorá </w:t>
      </w:r>
      <w:r w:rsidRPr="00DD3417">
        <w:rPr>
          <w:b/>
          <w:bCs/>
          <w:sz w:val="18"/>
          <w:szCs w:val="18"/>
        </w:rPr>
        <w:t>má rovnakú právnu silu ako zmluvy.</w:t>
      </w:r>
      <w:r w:rsidRPr="00DD3417">
        <w:rPr>
          <w:sz w:val="18"/>
          <w:szCs w:val="18"/>
        </w:rPr>
        <w:t xml:space="preserve"> Ustanovenia charty žiadnym spôsobom nerozširujú právomoci Únie vymedzené v zmluvách.“</w:t>
      </w:r>
    </w:p>
  </w:footnote>
  <w:footnote w:id="7">
    <w:p w14:paraId="1A835F42" w14:textId="77777777" w:rsidR="00C9364C" w:rsidRPr="00DD3417" w:rsidRDefault="00C9364C" w:rsidP="0056111A">
      <w:pPr>
        <w:pStyle w:val="Textpoznmkypodiarou"/>
        <w:jc w:val="both"/>
        <w:rPr>
          <w:sz w:val="18"/>
          <w:szCs w:val="18"/>
        </w:rPr>
      </w:pPr>
      <w:r w:rsidRPr="00DD3417">
        <w:rPr>
          <w:rStyle w:val="Odkaznapoznmkupodiarou"/>
          <w:rFonts w:eastAsia="Arial"/>
          <w:sz w:val="18"/>
          <w:szCs w:val="18"/>
        </w:rPr>
        <w:footnoteRef/>
      </w:r>
      <w:r w:rsidRPr="00DD3417">
        <w:rPr>
          <w:sz w:val="18"/>
          <w:szCs w:val="18"/>
        </w:rPr>
        <w:t xml:space="preserve"> </w:t>
      </w:r>
      <w:proofErr w:type="spellStart"/>
      <w:r w:rsidRPr="00DD3417">
        <w:rPr>
          <w:sz w:val="18"/>
          <w:szCs w:val="18"/>
        </w:rPr>
        <w:t>Siman</w:t>
      </w:r>
      <w:proofErr w:type="spellEnd"/>
      <w:r w:rsidRPr="00DD3417">
        <w:rPr>
          <w:sz w:val="18"/>
          <w:szCs w:val="18"/>
        </w:rPr>
        <w:t xml:space="preserve">, M., </w:t>
      </w:r>
      <w:proofErr w:type="spellStart"/>
      <w:r w:rsidRPr="00DD3417">
        <w:rPr>
          <w:sz w:val="18"/>
          <w:szCs w:val="18"/>
        </w:rPr>
        <w:t>Slašťan</w:t>
      </w:r>
      <w:proofErr w:type="spellEnd"/>
      <w:r w:rsidRPr="00DD3417">
        <w:rPr>
          <w:sz w:val="18"/>
          <w:szCs w:val="18"/>
        </w:rPr>
        <w:t>, M.: Právo Európskej únie, inštitucionálny systém a právny poriadok Únie s judikatúrou, 1. vydanie, EUROIURIS, Bratislava, 2012, s. 367.</w:t>
      </w:r>
    </w:p>
  </w:footnote>
  <w:footnote w:id="8">
    <w:p w14:paraId="3CEA35E0" w14:textId="77777777" w:rsidR="00C9364C" w:rsidRPr="00DD3417" w:rsidRDefault="00C9364C" w:rsidP="00C9364C">
      <w:pPr>
        <w:pStyle w:val="Textpoznmkypodiarou"/>
        <w:rPr>
          <w:sz w:val="18"/>
          <w:szCs w:val="18"/>
        </w:rPr>
      </w:pPr>
      <w:r w:rsidRPr="00DD3417">
        <w:rPr>
          <w:rStyle w:val="Odkaznapoznmkupodiarou"/>
          <w:rFonts w:eastAsia="Arial"/>
          <w:sz w:val="18"/>
          <w:szCs w:val="18"/>
        </w:rPr>
        <w:footnoteRef/>
      </w:r>
      <w:r w:rsidRPr="00DD3417">
        <w:rPr>
          <w:sz w:val="18"/>
          <w:szCs w:val="18"/>
        </w:rPr>
        <w:t xml:space="preserve"> Amsterdam </w:t>
      </w:r>
      <w:proofErr w:type="spellStart"/>
      <w:r w:rsidRPr="00DD3417">
        <w:rPr>
          <w:sz w:val="18"/>
          <w:szCs w:val="18"/>
        </w:rPr>
        <w:t>Bulb</w:t>
      </w:r>
      <w:proofErr w:type="spellEnd"/>
      <w:r w:rsidRPr="00DD3417">
        <w:rPr>
          <w:sz w:val="18"/>
          <w:szCs w:val="18"/>
        </w:rPr>
        <w:t>, 50-76, 2.2.1977, Zb.s.137</w:t>
      </w:r>
    </w:p>
  </w:footnote>
  <w:footnote w:id="9">
    <w:p w14:paraId="0021B67C" w14:textId="77777777" w:rsidR="00C9364C" w:rsidRPr="002A22FF" w:rsidRDefault="00C9364C" w:rsidP="00C9364C">
      <w:pPr>
        <w:pStyle w:val="Textpoznmkypodiarou"/>
        <w:jc w:val="both"/>
        <w:rPr>
          <w:sz w:val="18"/>
          <w:szCs w:val="18"/>
        </w:rPr>
      </w:pPr>
      <w:r w:rsidRPr="00DD3417">
        <w:rPr>
          <w:rStyle w:val="Odkaznapoznmkupodiarou"/>
          <w:rFonts w:eastAsia="Arial"/>
          <w:sz w:val="18"/>
          <w:szCs w:val="18"/>
        </w:rPr>
        <w:footnoteRef/>
      </w:r>
      <w:r w:rsidRPr="00DD3417">
        <w:rPr>
          <w:sz w:val="18"/>
          <w:szCs w:val="18"/>
        </w:rPr>
        <w:t xml:space="preserve"> </w:t>
      </w:r>
      <w:proofErr w:type="spellStart"/>
      <w:r w:rsidRPr="00DD3417">
        <w:rPr>
          <w:sz w:val="18"/>
          <w:szCs w:val="18"/>
        </w:rPr>
        <w:t>Jonkman</w:t>
      </w:r>
      <w:proofErr w:type="spellEnd"/>
      <w:r w:rsidRPr="00DD3417">
        <w:rPr>
          <w:sz w:val="18"/>
          <w:szCs w:val="18"/>
        </w:rPr>
        <w:t xml:space="preserve">, C-231 až 233/06, 21.6.2007, Zb. s. I. </w:t>
      </w:r>
      <w:r w:rsidRPr="00DD3417">
        <w:rPr>
          <w:sz w:val="18"/>
          <w:szCs w:val="18"/>
        </w:rPr>
        <w:t xml:space="preserve">5149, </w:t>
      </w:r>
      <w:r w:rsidRPr="002A22FF">
        <w:rPr>
          <w:sz w:val="18"/>
          <w:szCs w:val="18"/>
        </w:rPr>
        <w:t xml:space="preserve">bod 39; </w:t>
      </w:r>
      <w:proofErr w:type="spellStart"/>
      <w:r w:rsidRPr="002A22FF">
        <w:rPr>
          <w:sz w:val="18"/>
          <w:szCs w:val="18"/>
        </w:rPr>
        <w:t>Molinari</w:t>
      </w:r>
      <w:proofErr w:type="spellEnd"/>
      <w:r w:rsidRPr="002A22FF">
        <w:rPr>
          <w:sz w:val="18"/>
          <w:szCs w:val="18"/>
        </w:rPr>
        <w:t xml:space="preserve">, C-128 až 131/07, </w:t>
      </w:r>
      <w:proofErr w:type="spellStart"/>
      <w:r w:rsidRPr="002A22FF">
        <w:rPr>
          <w:sz w:val="18"/>
          <w:szCs w:val="18"/>
        </w:rPr>
        <w:t>Uz</w:t>
      </w:r>
      <w:proofErr w:type="spellEnd"/>
      <w:r w:rsidRPr="002A22FF">
        <w:rPr>
          <w:sz w:val="18"/>
          <w:szCs w:val="18"/>
        </w:rPr>
        <w:t>. 16.1.2008, Zb. s. I-4, bod 23</w:t>
      </w:r>
    </w:p>
  </w:footnote>
  <w:footnote w:id="10">
    <w:p w14:paraId="2720BE97" w14:textId="53FFD5F6" w:rsidR="0006390F" w:rsidRDefault="0006390F" w:rsidP="0056111A">
      <w:pPr>
        <w:pStyle w:val="Textpoznmkypodiarou"/>
        <w:jc w:val="both"/>
      </w:pPr>
      <w:r w:rsidRPr="002A22FF">
        <w:rPr>
          <w:rStyle w:val="Odkaznapoznmkupodiarou"/>
          <w:sz w:val="18"/>
          <w:szCs w:val="18"/>
        </w:rPr>
        <w:footnoteRef/>
      </w:r>
      <w:r w:rsidRPr="002A22FF">
        <w:rPr>
          <w:sz w:val="18"/>
          <w:szCs w:val="18"/>
        </w:rPr>
        <w:t xml:space="preserve"> </w:t>
      </w:r>
      <w:r w:rsidR="00BA7DFD" w:rsidRPr="002A22FF">
        <w:rPr>
          <w:sz w:val="18"/>
          <w:szCs w:val="18"/>
        </w:rPr>
        <w:t xml:space="preserve">Podľa § 3 ods. 1 zákona č. </w:t>
      </w:r>
      <w:r w:rsidR="002A7D67" w:rsidRPr="002A22FF">
        <w:rPr>
          <w:sz w:val="18"/>
          <w:szCs w:val="18"/>
        </w:rPr>
        <w:t xml:space="preserve">315/2016 Z. z. </w:t>
      </w:r>
      <w:r w:rsidR="002A7D67" w:rsidRPr="002A22FF">
        <w:rPr>
          <w:color w:val="070707"/>
          <w:sz w:val="18"/>
          <w:szCs w:val="18"/>
          <w:shd w:val="clear" w:color="auto" w:fill="FFFFFF"/>
        </w:rPr>
        <w:t>o registri partnerov verejného sektora a o zmene a doplnení niektorých zákonov</w:t>
      </w:r>
      <w:r w:rsidR="00422C9F" w:rsidRPr="002A22FF">
        <w:rPr>
          <w:color w:val="070707"/>
          <w:sz w:val="18"/>
          <w:szCs w:val="18"/>
          <w:shd w:val="clear" w:color="auto" w:fill="FFFFFF"/>
        </w:rPr>
        <w:t xml:space="preserve">, </w:t>
      </w:r>
      <w:r w:rsidR="006345C7" w:rsidRPr="002A22FF">
        <w:rPr>
          <w:color w:val="000000"/>
          <w:sz w:val="18"/>
          <w:szCs w:val="18"/>
          <w:shd w:val="clear" w:color="auto" w:fill="FFFFFF"/>
        </w:rPr>
        <w:t>r</w:t>
      </w:r>
      <w:r w:rsidR="00FB64DD" w:rsidRPr="002A22FF">
        <w:rPr>
          <w:color w:val="000000"/>
          <w:sz w:val="18"/>
          <w:szCs w:val="18"/>
          <w:shd w:val="clear" w:color="auto" w:fill="FFFFFF"/>
        </w:rPr>
        <w:t>egister</w:t>
      </w:r>
      <w:r w:rsidR="006345C7" w:rsidRPr="002A22FF">
        <w:rPr>
          <w:color w:val="000000"/>
          <w:sz w:val="18"/>
          <w:szCs w:val="18"/>
          <w:shd w:val="clear" w:color="auto" w:fill="FFFFFF"/>
        </w:rPr>
        <w:t xml:space="preserve"> par</w:t>
      </w:r>
      <w:r w:rsidR="003A1CD9" w:rsidRPr="002A22FF">
        <w:rPr>
          <w:color w:val="000000"/>
          <w:sz w:val="18"/>
          <w:szCs w:val="18"/>
          <w:shd w:val="clear" w:color="auto" w:fill="FFFFFF"/>
        </w:rPr>
        <w:t>t</w:t>
      </w:r>
      <w:r w:rsidR="006345C7" w:rsidRPr="002A22FF">
        <w:rPr>
          <w:color w:val="000000"/>
          <w:sz w:val="18"/>
          <w:szCs w:val="18"/>
          <w:shd w:val="clear" w:color="auto" w:fill="FFFFFF"/>
        </w:rPr>
        <w:t>nerov verejného sektora</w:t>
      </w:r>
      <w:r w:rsidR="00FB64DD" w:rsidRPr="002A22FF">
        <w:rPr>
          <w:color w:val="000000"/>
          <w:sz w:val="18"/>
          <w:szCs w:val="18"/>
          <w:shd w:val="clear" w:color="auto" w:fill="FFFFFF"/>
        </w:rPr>
        <w:t xml:space="preserve"> </w:t>
      </w:r>
      <w:r w:rsidR="002A22FF" w:rsidRPr="0056111A">
        <w:rPr>
          <w:i/>
          <w:iCs/>
          <w:color w:val="000000"/>
          <w:sz w:val="18"/>
          <w:szCs w:val="18"/>
          <w:shd w:val="clear" w:color="auto" w:fill="FFFFFF"/>
        </w:rPr>
        <w:t>„</w:t>
      </w:r>
      <w:r w:rsidR="00FB64DD" w:rsidRPr="0056111A">
        <w:rPr>
          <w:i/>
          <w:iCs/>
          <w:color w:val="000000"/>
          <w:sz w:val="18"/>
          <w:szCs w:val="18"/>
          <w:shd w:val="clear" w:color="auto" w:fill="FFFFFF"/>
        </w:rPr>
        <w:t xml:space="preserve">je informačný systém verejnej správy, </w:t>
      </w:r>
      <w:r w:rsidR="003A1CD9" w:rsidRPr="0056111A">
        <w:rPr>
          <w:i/>
          <w:iCs/>
          <w:color w:val="000000"/>
          <w:sz w:val="18"/>
          <w:szCs w:val="18"/>
          <w:shd w:val="clear" w:color="auto" w:fill="FFFFFF"/>
        </w:rPr>
        <w:t xml:space="preserve">... </w:t>
      </w:r>
      <w:r w:rsidR="00FB64DD" w:rsidRPr="0056111A">
        <w:rPr>
          <w:i/>
          <w:iCs/>
          <w:color w:val="000000"/>
          <w:sz w:val="18"/>
          <w:szCs w:val="18"/>
          <w:shd w:val="clear" w:color="auto" w:fill="FFFFFF"/>
        </w:rPr>
        <w:t>ktorého správcom a prevádzkovateľom je Ministerstvo spravodlivosti Slovenskej republiky (ďalej len „ministerstvo“). Registrujúcim orgánom je Okresný súd Žilina</w:t>
      </w:r>
      <w:r w:rsidR="002A22FF" w:rsidRPr="0056111A">
        <w:rPr>
          <w:i/>
          <w:iCs/>
          <w:color w:val="000000"/>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44999"/>
    <w:multiLevelType w:val="hybridMultilevel"/>
    <w:tmpl w:val="6EB450EE"/>
    <w:lvl w:ilvl="0" w:tplc="FAC87484">
      <w:start w:val="2"/>
      <w:numFmt w:val="bullet"/>
      <w:lvlText w:val="-"/>
      <w:lvlJc w:val="left"/>
      <w:pPr>
        <w:ind w:left="720" w:hanging="360"/>
      </w:pPr>
      <w:rPr>
        <w:rFonts w:ascii="Verdana" w:eastAsiaTheme="minorHAnsi" w:hAnsi="Verdan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55720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4C"/>
    <w:rsid w:val="00010766"/>
    <w:rsid w:val="000318C6"/>
    <w:rsid w:val="0005665C"/>
    <w:rsid w:val="0006390F"/>
    <w:rsid w:val="000679C6"/>
    <w:rsid w:val="00093DF3"/>
    <w:rsid w:val="000C0D92"/>
    <w:rsid w:val="000E5390"/>
    <w:rsid w:val="00161631"/>
    <w:rsid w:val="00190101"/>
    <w:rsid w:val="002179AE"/>
    <w:rsid w:val="00243CA7"/>
    <w:rsid w:val="00283698"/>
    <w:rsid w:val="002A22FF"/>
    <w:rsid w:val="002A7D67"/>
    <w:rsid w:val="002B5AF4"/>
    <w:rsid w:val="0039141B"/>
    <w:rsid w:val="003A1CD9"/>
    <w:rsid w:val="003D2C2F"/>
    <w:rsid w:val="003F5D44"/>
    <w:rsid w:val="00410B0F"/>
    <w:rsid w:val="00422C9F"/>
    <w:rsid w:val="0054155E"/>
    <w:rsid w:val="005542C4"/>
    <w:rsid w:val="0056111A"/>
    <w:rsid w:val="00570910"/>
    <w:rsid w:val="00596276"/>
    <w:rsid w:val="005F3EE4"/>
    <w:rsid w:val="006345C7"/>
    <w:rsid w:val="006A1906"/>
    <w:rsid w:val="007526D6"/>
    <w:rsid w:val="007A28C0"/>
    <w:rsid w:val="00824D40"/>
    <w:rsid w:val="00855BA8"/>
    <w:rsid w:val="00865BDD"/>
    <w:rsid w:val="00890281"/>
    <w:rsid w:val="008B1C04"/>
    <w:rsid w:val="008B6995"/>
    <w:rsid w:val="00906D13"/>
    <w:rsid w:val="0096107B"/>
    <w:rsid w:val="00982822"/>
    <w:rsid w:val="009E108F"/>
    <w:rsid w:val="009E63AE"/>
    <w:rsid w:val="009F2F84"/>
    <w:rsid w:val="00A20375"/>
    <w:rsid w:val="00AA0C91"/>
    <w:rsid w:val="00AF1766"/>
    <w:rsid w:val="00AF28A8"/>
    <w:rsid w:val="00B70949"/>
    <w:rsid w:val="00B753ED"/>
    <w:rsid w:val="00B7783A"/>
    <w:rsid w:val="00BA23CD"/>
    <w:rsid w:val="00BA7DFD"/>
    <w:rsid w:val="00BB10DD"/>
    <w:rsid w:val="00BE196A"/>
    <w:rsid w:val="00C9259C"/>
    <w:rsid w:val="00C9364C"/>
    <w:rsid w:val="00CA2AF7"/>
    <w:rsid w:val="00D1120C"/>
    <w:rsid w:val="00D45B5F"/>
    <w:rsid w:val="00DA595B"/>
    <w:rsid w:val="00DB0B98"/>
    <w:rsid w:val="00DD3417"/>
    <w:rsid w:val="00DF5486"/>
    <w:rsid w:val="00E2121E"/>
    <w:rsid w:val="00E44E60"/>
    <w:rsid w:val="00F64A2A"/>
    <w:rsid w:val="00F70EB5"/>
    <w:rsid w:val="00FB64DD"/>
    <w:rsid w:val="00FC2E26"/>
    <w:rsid w:val="00FD04D5"/>
    <w:rsid w:val="00FD660C"/>
    <w:rsid w:val="00FE4E5E"/>
    <w:rsid w:val="00FF7C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41BE"/>
  <w15:chartTrackingRefBased/>
  <w15:docId w15:val="{5DF5308A-961B-4951-BA0D-6B9F52DA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364C"/>
    <w:pPr>
      <w:shd w:val="clear" w:color="auto" w:fill="FFFFFF"/>
      <w:spacing w:after="0" w:line="276" w:lineRule="auto"/>
    </w:pPr>
    <w:rPr>
      <w:rFonts w:ascii="Gotham Book" w:eastAsia="Arial" w:hAnsi="Gotham Book" w:cs="Arial"/>
      <w:sz w:val="24"/>
      <w:szCs w:val="21"/>
    </w:rPr>
  </w:style>
  <w:style w:type="paragraph" w:styleId="Nadpis1">
    <w:name w:val="heading 1"/>
    <w:basedOn w:val="Normlny"/>
    <w:next w:val="Normlny"/>
    <w:link w:val="Nadpis1Char"/>
    <w:autoRedefine/>
    <w:uiPriority w:val="9"/>
    <w:qFormat/>
    <w:rsid w:val="00D1120C"/>
    <w:pPr>
      <w:keepNext/>
      <w:keepLines/>
      <w:spacing w:before="240"/>
      <w:outlineLvl w:val="0"/>
    </w:pPr>
    <w:rPr>
      <w:rFonts w:eastAsiaTheme="majorEastAsia" w:cstheme="majorBidi"/>
      <w:color w:val="000000" w:themeColor="text1"/>
      <w:szCs w:val="32"/>
    </w:rPr>
  </w:style>
  <w:style w:type="paragraph" w:styleId="Nadpis2">
    <w:name w:val="heading 2"/>
    <w:basedOn w:val="Normlny"/>
    <w:next w:val="Normlny"/>
    <w:link w:val="Nadpis2Char"/>
    <w:uiPriority w:val="9"/>
    <w:semiHidden/>
    <w:unhideWhenUsed/>
    <w:qFormat/>
    <w:rsid w:val="00D1120C"/>
    <w:pPr>
      <w:keepNext/>
      <w:keepLines/>
      <w:spacing w:before="40"/>
      <w:outlineLvl w:val="1"/>
    </w:pPr>
    <w:rPr>
      <w:rFonts w:eastAsiaTheme="majorEastAsia" w:cstheme="majorBidi"/>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1120C"/>
    <w:rPr>
      <w:rFonts w:eastAsiaTheme="majorEastAsia" w:cstheme="majorBidi"/>
      <w:color w:val="000000" w:themeColor="text1"/>
      <w:szCs w:val="32"/>
    </w:rPr>
  </w:style>
  <w:style w:type="character" w:customStyle="1" w:styleId="Nadpis2Char">
    <w:name w:val="Nadpis 2 Char"/>
    <w:basedOn w:val="Predvolenpsmoodseku"/>
    <w:link w:val="Nadpis2"/>
    <w:uiPriority w:val="9"/>
    <w:semiHidden/>
    <w:rsid w:val="00D1120C"/>
    <w:rPr>
      <w:rFonts w:eastAsiaTheme="majorEastAsia" w:cstheme="majorBidi"/>
      <w:szCs w:val="26"/>
    </w:rPr>
  </w:style>
  <w:style w:type="character" w:customStyle="1" w:styleId="TextpoznmkypodiarouChar">
    <w:name w:val="Text poznámky pod čiarou Char"/>
    <w:aliases w:val="Text poznámky pod čiarou 007 Char,_Poznámka pod čiarou Char,Text poznámky pod eiarou 007 Char,Text pozn. pod čarou Char Char,Text pozn. pod čarou Char Char Char Char Char Char,Text pozn. pod čarou Char Char Char Char1"/>
    <w:basedOn w:val="Predvolenpsmoodseku"/>
    <w:link w:val="Textpoznmkypodiarou"/>
    <w:uiPriority w:val="99"/>
    <w:semiHidden/>
    <w:locked/>
    <w:rsid w:val="00C9364C"/>
    <w:rPr>
      <w:rFonts w:ascii="Times New Roman" w:eastAsia="Times New Roman" w:hAnsi="Times New Roman" w:cs="Times New Roman"/>
      <w:sz w:val="20"/>
      <w:szCs w:val="20"/>
      <w:lang w:eastAsia="sk-SK"/>
    </w:rPr>
  </w:style>
  <w:style w:type="paragraph" w:styleId="Textpoznmkypodiarou">
    <w:name w:val="footnote text"/>
    <w:aliases w:val="Text poznámky pod čiarou 007,_Poznámka pod čiarou,Text poznámky pod eiarou 007,Text pozn. pod čarou Char,Text pozn. pod čarou Char Char Char Char Char,Text pozn. pod čarou Char Char Char,Text pozn. pod čarou Char Char Char Char"/>
    <w:basedOn w:val="Normlny"/>
    <w:link w:val="TextpoznmkypodiarouChar"/>
    <w:uiPriority w:val="99"/>
    <w:semiHidden/>
    <w:unhideWhenUsed/>
    <w:rsid w:val="00C9364C"/>
    <w:pPr>
      <w:shd w:val="clear" w:color="auto" w:fill="auto"/>
      <w:spacing w:line="240" w:lineRule="auto"/>
    </w:pPr>
    <w:rPr>
      <w:rFonts w:ascii="Times New Roman" w:eastAsia="Times New Roman" w:hAnsi="Times New Roman" w:cs="Times New Roman"/>
      <w:sz w:val="20"/>
      <w:szCs w:val="20"/>
      <w:lang w:eastAsia="sk-SK"/>
    </w:rPr>
  </w:style>
  <w:style w:type="character" w:customStyle="1" w:styleId="TextpoznmkypodiarouChar1">
    <w:name w:val="Text poznámky pod čiarou Char1"/>
    <w:basedOn w:val="Predvolenpsmoodseku"/>
    <w:uiPriority w:val="99"/>
    <w:semiHidden/>
    <w:rsid w:val="00C9364C"/>
    <w:rPr>
      <w:rFonts w:ascii="Gotham Book" w:eastAsia="Arial" w:hAnsi="Gotham Book" w:cs="Arial"/>
      <w:sz w:val="20"/>
      <w:szCs w:val="20"/>
      <w:shd w:val="clear" w:color="auto" w:fill="FFFFFF"/>
    </w:rPr>
  </w:style>
  <w:style w:type="character" w:customStyle="1" w:styleId="OdsekzoznamuChar">
    <w:name w:val="Odsek zoznamu Char"/>
    <w:aliases w:val="body Char,Odsek zoznamu2 Char"/>
    <w:link w:val="Odsekzoznamu"/>
    <w:uiPriority w:val="34"/>
    <w:locked/>
    <w:rsid w:val="00C9364C"/>
    <w:rPr>
      <w:rFonts w:ascii="Gotham Book" w:hAnsi="Gotham Book"/>
      <w:sz w:val="20"/>
    </w:rPr>
  </w:style>
  <w:style w:type="paragraph" w:styleId="Odsekzoznamu">
    <w:name w:val="List Paragraph"/>
    <w:aliases w:val="body,Odsek zoznamu2"/>
    <w:basedOn w:val="Normlny"/>
    <w:link w:val="OdsekzoznamuChar"/>
    <w:uiPriority w:val="34"/>
    <w:qFormat/>
    <w:rsid w:val="00C9364C"/>
    <w:pPr>
      <w:shd w:val="clear" w:color="auto" w:fill="auto"/>
      <w:spacing w:after="160" w:line="256" w:lineRule="auto"/>
      <w:ind w:left="720"/>
      <w:contextualSpacing/>
    </w:pPr>
    <w:rPr>
      <w:rFonts w:eastAsiaTheme="minorHAnsi" w:cstheme="minorBidi"/>
      <w:sz w:val="20"/>
      <w:szCs w:val="22"/>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link w:val="Char2"/>
    <w:unhideWhenUsed/>
    <w:rsid w:val="00C9364C"/>
    <w:rPr>
      <w:shd w:val="clear" w:color="auto" w:fill="FFFFFF"/>
      <w:vertAlign w:val="superscript"/>
    </w:rPr>
  </w:style>
  <w:style w:type="paragraph" w:customStyle="1" w:styleId="Char2">
    <w:name w:val="Char2"/>
    <w:basedOn w:val="Normlny"/>
    <w:link w:val="Odkaznapoznmkupodiarou"/>
    <w:rsid w:val="00C9364C"/>
    <w:pPr>
      <w:spacing w:after="160" w:line="240" w:lineRule="exact"/>
    </w:pPr>
    <w:rPr>
      <w:rFonts w:ascii="Verdana" w:eastAsiaTheme="minorHAnsi" w:hAnsi="Verdana" w:cstheme="minorBidi"/>
      <w:sz w:val="22"/>
      <w:szCs w:val="22"/>
      <w:vertAlign w:val="superscript"/>
    </w:rPr>
  </w:style>
  <w:style w:type="paragraph" w:styleId="Hlavika">
    <w:name w:val="header"/>
    <w:basedOn w:val="Normlny"/>
    <w:link w:val="HlavikaChar"/>
    <w:uiPriority w:val="99"/>
    <w:unhideWhenUsed/>
    <w:rsid w:val="00C9364C"/>
    <w:pPr>
      <w:tabs>
        <w:tab w:val="center" w:pos="4536"/>
        <w:tab w:val="right" w:pos="9072"/>
      </w:tabs>
      <w:spacing w:line="240" w:lineRule="auto"/>
    </w:pPr>
  </w:style>
  <w:style w:type="character" w:customStyle="1" w:styleId="HlavikaChar">
    <w:name w:val="Hlavička Char"/>
    <w:basedOn w:val="Predvolenpsmoodseku"/>
    <w:link w:val="Hlavika"/>
    <w:uiPriority w:val="99"/>
    <w:rsid w:val="00C9364C"/>
    <w:rPr>
      <w:rFonts w:ascii="Gotham Book" w:eastAsia="Arial" w:hAnsi="Gotham Book" w:cs="Arial"/>
      <w:sz w:val="24"/>
      <w:szCs w:val="21"/>
      <w:shd w:val="clear" w:color="auto" w:fill="FFFFFF"/>
    </w:rPr>
  </w:style>
  <w:style w:type="paragraph" w:styleId="Pta">
    <w:name w:val="footer"/>
    <w:basedOn w:val="Normlny"/>
    <w:link w:val="PtaChar"/>
    <w:uiPriority w:val="99"/>
    <w:unhideWhenUsed/>
    <w:rsid w:val="00C9364C"/>
    <w:pPr>
      <w:tabs>
        <w:tab w:val="center" w:pos="4536"/>
        <w:tab w:val="right" w:pos="9072"/>
      </w:tabs>
      <w:spacing w:line="240" w:lineRule="auto"/>
    </w:pPr>
  </w:style>
  <w:style w:type="character" w:customStyle="1" w:styleId="PtaChar">
    <w:name w:val="Päta Char"/>
    <w:basedOn w:val="Predvolenpsmoodseku"/>
    <w:link w:val="Pta"/>
    <w:uiPriority w:val="99"/>
    <w:rsid w:val="00C9364C"/>
    <w:rPr>
      <w:rFonts w:ascii="Gotham Book" w:eastAsia="Arial" w:hAnsi="Gotham Book" w:cs="Arial"/>
      <w:sz w:val="24"/>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6939-4CE8-481C-936B-9DBE3577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1173</Words>
  <Characters>6690</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FILIPOVÁ</dc:creator>
  <cp:keywords/>
  <dc:description/>
  <cp:lastModifiedBy>Radim KOCHAN</cp:lastModifiedBy>
  <cp:revision>13</cp:revision>
  <dcterms:created xsi:type="dcterms:W3CDTF">2023-01-09T15:46:00Z</dcterms:created>
  <dcterms:modified xsi:type="dcterms:W3CDTF">2023-01-09T20:10:00Z</dcterms:modified>
</cp:coreProperties>
</file>